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6C" w:rsidRPr="00CB746C" w:rsidRDefault="00CB746C" w:rsidP="000F3B6E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74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документов, необходимых для представления заявителем для получения разрешения на установку рекламных конструкций</w:t>
      </w:r>
    </w:p>
    <w:tbl>
      <w:tblPr>
        <w:tblW w:w="98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9179"/>
      </w:tblGrid>
      <w:tr w:rsidR="00CB746C" w:rsidRPr="00CB746C" w:rsidTr="00257966">
        <w:trPr>
          <w:trHeight w:val="34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CB746C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0F3B6E" w:rsidRDefault="00CB746C" w:rsidP="00CB746C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документа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0F3B6E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B6E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B2FB82"/>
                <w:lang w:eastAsia="ru-RU"/>
              </w:rPr>
              <w:t>Заявление о выдаче разрешения на установку рекламной конструкции (приложение № 1).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0F3B6E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>данные о заявителе:</w:t>
            </w:r>
          </w:p>
          <w:p w:rsidR="00CB746C" w:rsidRPr="000F3B6E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физического лица - копия паспорта гражданина Российской Федерации;</w:t>
            </w:r>
          </w:p>
          <w:p w:rsidR="00CB746C" w:rsidRPr="000F3B6E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индивидуального предпринимателя - копия паспорта гражданина Российской Федерации, копия свидетельства о регистрации в качестве индивидуального предпринимателя;</w:t>
            </w:r>
          </w:p>
          <w:p w:rsidR="00CB746C" w:rsidRPr="000F3B6E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>- для юридического лица - выписка из единого государственного реестра юридических лиц</w:t>
            </w:r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34FF5D"/>
                <w:lang w:eastAsia="ru-RU"/>
              </w:rPr>
              <w:br/>
            </w:r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 xml:space="preserve">*выписку можно распечатать с </w:t>
            </w:r>
            <w:proofErr w:type="spellStart"/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>электр</w:t>
            </w:r>
            <w:proofErr w:type="gramStart"/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>.р</w:t>
            </w:r>
            <w:proofErr w:type="gramEnd"/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>есурса</w:t>
            </w:r>
            <w:proofErr w:type="spellEnd"/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 xml:space="preserve"> : </w:t>
            </w:r>
            <w:hyperlink r:id="rId4" w:tgtFrame="_blank" w:history="1">
              <w:r w:rsidRPr="000F3B6E">
                <w:rPr>
                  <w:rFonts w:ascii="Times New Roman" w:eastAsia="Times New Roman" w:hAnsi="Times New Roman" w:cs="Times New Roman"/>
                  <w:color w:val="0077CC"/>
                  <w:u w:val="single"/>
                  <w:lang w:eastAsia="ru-RU"/>
                </w:rPr>
                <w:t>https://egrul.nalog.ru/index.html</w:t>
              </w:r>
            </w:hyperlink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>. Распечатанный документ ОБЯЗАТЕЛЬНО заверить подписью руководителя, копия верна и печать организации.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0F3B6E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>копия документа, подтверждающего полномочия лица на осуществление действий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копия доверенности на осуществление действий от имени заявителя)</w:t>
            </w:r>
            <w:proofErr w:type="gramEnd"/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B6E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>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- протокол общего собрания собственников  помещений в многоквартирном доме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FCE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  <w:t>заверенная копия документа, подтверждающего право собственности либо владения имуществом, к которому присоединяется рекламная конструкция на земельный участок, здание или иное недвижимое имущество, на котором предполагается установить рекламную конструкцию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shd w:val="clear" w:color="auto" w:fill="89F641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361FCE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61FCE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  <w:t>дорожная схема (в случае размещения отдельно стоящей рекламной конструкции) с указанием предполагаемого места установки рекламной конструкции, а также расстояния до ближайших существующих объектов (домов, опор освещения, дорожных знаков, пешеходных переходов, перекрёстков, ближайших рекламных объектов, остановок)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361FCE" w:rsidRDefault="00CB746C" w:rsidP="00CB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61FCE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  <w:t>фотография предполагаемого места размещения рекламной конструкции, дающая чёткое представление о том, какие близлежащие рекламные конструкции, дорожные знаки, здания, участки дороги, находятся вблизи предполагаемого места установки рекламной конструкции (до установки и фотомонтаж после установки рекламной конструкции)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361FCE" w:rsidRDefault="00CB746C" w:rsidP="00CB74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61FCE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  <w:t>краткое описание рекламной конструкции (способ изготовления, применяемые материалы, наличие электрического подключения)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361FCE" w:rsidRDefault="00CB746C" w:rsidP="00CB74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61FCE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  <w:t>схема подключения к электросети (если в конструкции подразумевается энергопотребление)</w:t>
            </w:r>
          </w:p>
        </w:tc>
      </w:tr>
      <w:tr w:rsidR="00CB746C" w:rsidRPr="00156085" w:rsidTr="0025796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6C" w:rsidRPr="00156085" w:rsidRDefault="00CB746C" w:rsidP="00CB74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608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/>
              </w:rPr>
              <w:t>копия платёжного поручения (квитанции), подтверждающую оплату государственной пошлины за разрешение на установку рекламной конструкции</w:t>
            </w:r>
            <w:r w:rsidRPr="0015608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/>
              </w:rPr>
              <w:br/>
              <w:t>*</w:t>
            </w:r>
            <w:r w:rsidRPr="00156085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FFFFFF" w:themeFill="background1"/>
                <w:lang w:eastAsia="ru-RU"/>
              </w:rPr>
              <w:t>Нормативные</w:t>
            </w:r>
            <w:r w:rsidRPr="0015608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акты</w:t>
            </w:r>
            <w:r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lang w:eastAsia="ru-RU"/>
              </w:rPr>
              <w:t>: Госпошлина за выдачу разрешения на установку рекламной конструкции</w:t>
            </w:r>
            <w:hyperlink r:id="rId5" w:anchor="dst10232" w:tgtFrame="_blank" w:history="1">
              <w:r w:rsidRPr="00156085">
                <w:rPr>
                  <w:rFonts w:ascii="Arial" w:eastAsia="Times New Roman" w:hAnsi="Arial" w:cs="Arial"/>
                  <w:color w:val="1200D4"/>
                  <w:sz w:val="20"/>
                  <w:u w:val="single"/>
                  <w:lang w:eastAsia="ru-RU"/>
                </w:rPr>
                <w:t>"Налоговый кодекс Российской Федерации (часть вторая)" от 05.08.2000 N 117-ФЗ</w:t>
              </w:r>
            </w:hyperlink>
          </w:p>
          <w:p w:rsidR="00CB746C" w:rsidRPr="00156085" w:rsidRDefault="008D339E" w:rsidP="00CB746C">
            <w:pPr>
              <w:spacing w:after="0" w:line="240" w:lineRule="auto"/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</w:pPr>
            <w:hyperlink r:id="rId6" w:anchor="dst10232" w:tgtFrame="_blank" w:history="1">
              <w:r w:rsidR="00CB746C" w:rsidRPr="00156085">
                <w:rPr>
                  <w:rFonts w:ascii="Arial Black" w:eastAsia="Times New Roman" w:hAnsi="Arial Black" w:cs="Arial"/>
                  <w:color w:val="0077CC"/>
                  <w:spacing w:val="2"/>
                  <w:sz w:val="19"/>
                  <w:u w:val="single"/>
                  <w:lang w:eastAsia="ru-RU"/>
                </w:rPr>
                <w:t>(ред. от 17.06.2019)</w:t>
              </w:r>
              <w:r w:rsidR="00CB746C" w:rsidRPr="00156085">
                <w:rPr>
                  <w:rFonts w:ascii="Arial Black" w:eastAsia="Times New Roman" w:hAnsi="Arial Black" w:cs="Arial"/>
                  <w:color w:val="0077CC"/>
                  <w:spacing w:val="2"/>
                  <w:sz w:val="19"/>
                  <w:szCs w:val="19"/>
                  <w:u w:val="single"/>
                  <w:lang w:eastAsia="ru-RU"/>
                </w:rPr>
                <w:br/>
              </w:r>
              <w:r w:rsidR="00CB746C" w:rsidRPr="00156085">
                <w:rPr>
                  <w:rFonts w:ascii="Arial Black" w:eastAsia="Times New Roman" w:hAnsi="Arial Black" w:cs="Arial"/>
                  <w:color w:val="0077CC"/>
                  <w:spacing w:val="2"/>
                  <w:sz w:val="19"/>
                  <w:u w:val="single"/>
                  <w:lang w:eastAsia="ru-RU"/>
                </w:rPr>
                <w:lastRenderedPageBreak/>
                <w:t>(с изм. и доп., вступ. в силу с 01.07.2019)</w:t>
              </w:r>
            </w:hyperlink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lang w:eastAsia="ru-RU"/>
              </w:rPr>
              <w:br/>
              <w:t>105) за выдачу разрешения на установку рекламной конструкции - 5 000 рублей</w:t>
            </w:r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lang w:eastAsia="ru-RU"/>
              </w:rPr>
              <w:br/>
            </w:r>
            <w:hyperlink r:id="rId7" w:tgtFrame="_blank" w:history="1">
              <w:r w:rsidR="00CB746C" w:rsidRPr="00156085">
                <w:rPr>
                  <w:rFonts w:ascii="PTSansRegular" w:eastAsia="Times New Roman" w:hAnsi="PTSansRegular" w:cs="Arial"/>
                  <w:color w:val="1200D4"/>
                  <w:spacing w:val="2"/>
                  <w:u w:val="single"/>
                  <w:shd w:val="clear" w:color="auto" w:fill="FFFFFF" w:themeFill="background1"/>
                  <w:lang w:eastAsia="ru-RU"/>
                </w:rPr>
                <w:t>http://www.consultant.ru/law/podborki/gosposhlina_za_vydachu_razresheniya_na_ustanovku_reklamnoj_konstrukcii/</w:t>
              </w:r>
            </w:hyperlink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shd w:val="clear" w:color="auto" w:fill="FFFFFF" w:themeFill="background1"/>
                <w:lang w:eastAsia="ru-RU"/>
              </w:rPr>
              <w:t>© КонсультантПлюс, 1997-2019</w:t>
            </w:r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shd w:val="clear" w:color="auto" w:fill="FFFFFF" w:themeFill="background1"/>
                <w:lang w:eastAsia="ru-RU"/>
              </w:rPr>
              <w:br/>
            </w:r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shd w:val="clear" w:color="auto" w:fill="FFFFFF" w:themeFill="background1"/>
                <w:lang w:eastAsia="ru-RU"/>
              </w:rPr>
              <w:br/>
              <w:t>Реквизиты для оплаты госпошлины:</w:t>
            </w:r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shd w:val="clear" w:color="auto" w:fill="89F641"/>
                <w:lang w:eastAsia="ru-RU"/>
              </w:rPr>
              <w:br/>
            </w:r>
          </w:p>
          <w:p w:rsidR="00CB746C" w:rsidRPr="00156085" w:rsidRDefault="00CB746C" w:rsidP="00CB746C">
            <w:pPr>
              <w:spacing w:before="100" w:beforeAutospacing="1" w:after="100" w:afterAutospacing="1" w:line="240" w:lineRule="auto"/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</w:pPr>
            <w:r w:rsidRPr="00156085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Реквизиты доход (район)</w:t>
            </w:r>
          </w:p>
          <w:p w:rsidR="00CB746C" w:rsidRPr="00156085" w:rsidRDefault="00CB746C" w:rsidP="00CB746C">
            <w:pPr>
              <w:spacing w:before="100" w:beforeAutospacing="1" w:after="0" w:line="240" w:lineRule="auto"/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</w:pPr>
            <w:r w:rsidRPr="00156085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Администрация муниципального образования Суоярвский район</w:t>
            </w:r>
          </w:p>
          <w:p w:rsidR="00CB746C" w:rsidRPr="00156085" w:rsidRDefault="00CB746C" w:rsidP="00CB746C">
            <w:pPr>
              <w:spacing w:before="100" w:beforeAutospacing="1" w:after="0" w:line="240" w:lineRule="auto"/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</w:pPr>
            <w:r w:rsidRPr="00156085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186870, Карелия Респ., г</w:t>
            </w:r>
            <w:proofErr w:type="gramStart"/>
            <w:r w:rsidRPr="00156085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.С</w:t>
            </w:r>
            <w:proofErr w:type="gramEnd"/>
            <w:r w:rsidRPr="00156085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 xml:space="preserve">уоярви, </w:t>
            </w:r>
            <w:proofErr w:type="spellStart"/>
            <w:r w:rsidRPr="00156085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ул.Шельшакова</w:t>
            </w:r>
            <w:proofErr w:type="spellEnd"/>
            <w:r w:rsidRPr="00156085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, д.6</w:t>
            </w:r>
          </w:p>
          <w:p w:rsidR="000F3B6E" w:rsidRPr="000F3B6E" w:rsidRDefault="000F3B6E" w:rsidP="000F3B6E">
            <w:pPr>
              <w:spacing w:after="0" w:line="240" w:lineRule="auto"/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</w:pPr>
            <w:r w:rsidRPr="000F3B6E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 xml:space="preserve">Счет: УФК по Республике Карелия  (Администрация муниципального образования «Суоярвский район», </w:t>
            </w:r>
            <w:proofErr w:type="gramStart"/>
            <w:r w:rsidRPr="000F3B6E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л</w:t>
            </w:r>
            <w:proofErr w:type="gramEnd"/>
            <w:r w:rsidRPr="000F3B6E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/с 04063007980)</w:t>
            </w:r>
          </w:p>
          <w:p w:rsidR="000F3B6E" w:rsidRPr="000F3B6E" w:rsidRDefault="000F3B6E" w:rsidP="000F3B6E">
            <w:pPr>
              <w:spacing w:after="0" w:line="240" w:lineRule="auto"/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</w:pPr>
            <w:r w:rsidRPr="000F3B6E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№ 40101810600000010006, открытый в Отделени</w:t>
            </w:r>
            <w:proofErr w:type="gramStart"/>
            <w:r w:rsidRPr="000F3B6E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и-</w:t>
            </w:r>
            <w:proofErr w:type="gramEnd"/>
            <w:r w:rsidRPr="000F3B6E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 xml:space="preserve"> НБ Республика Карелия</w:t>
            </w:r>
          </w:p>
          <w:p w:rsidR="000F3B6E" w:rsidRPr="000F3B6E" w:rsidRDefault="000F3B6E" w:rsidP="000F3B6E">
            <w:pPr>
              <w:spacing w:after="0" w:line="240" w:lineRule="auto"/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</w:pPr>
            <w:r w:rsidRPr="000F3B6E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 xml:space="preserve"> БИК 048602001,  ИНН 1016010302.  КПП101601001, ОКТМО 86650000    </w:t>
            </w:r>
          </w:p>
          <w:p w:rsidR="000F3B6E" w:rsidRPr="000F3B6E" w:rsidRDefault="000F3B6E" w:rsidP="000F3B6E">
            <w:pPr>
              <w:spacing w:after="0" w:line="240" w:lineRule="auto"/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</w:pPr>
          </w:p>
          <w:p w:rsidR="00CB746C" w:rsidRPr="00156085" w:rsidRDefault="000F3B6E" w:rsidP="000F3B6E">
            <w:pPr>
              <w:spacing w:after="0" w:line="240" w:lineRule="auto"/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</w:pPr>
            <w:r w:rsidRPr="000F3B6E">
              <w:rPr>
                <w:rFonts w:ascii="PTSansRegular" w:eastAsia="Times New Roman" w:hAnsi="PTSansRegular" w:cs="Arial"/>
                <w:color w:val="000000"/>
                <w:spacing w:val="2"/>
                <w:lang w:eastAsia="ru-RU"/>
              </w:rPr>
              <w:t>КБК 019 117 0505 005 0000 180</w:t>
            </w:r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shd w:val="clear" w:color="auto" w:fill="89F641"/>
                <w:lang w:eastAsia="ru-RU"/>
              </w:rPr>
              <w:br/>
            </w:r>
            <w:proofErr w:type="gramStart"/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shd w:val="clear" w:color="auto" w:fill="FFFFFF" w:themeFill="background1"/>
                <w:lang w:eastAsia="ru-RU"/>
              </w:rPr>
              <w:t>Оплату</w:t>
            </w:r>
            <w:proofErr w:type="gramEnd"/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shd w:val="clear" w:color="auto" w:fill="FFFFFF" w:themeFill="background1"/>
                <w:lang w:eastAsia="ru-RU"/>
              </w:rPr>
              <w:t xml:space="preserve"> возможно произвести через Сбербанк</w:t>
            </w:r>
            <w:r w:rsidR="00CB746C" w:rsidRPr="00156085">
              <w:rPr>
                <w:rFonts w:ascii="Arial Black" w:eastAsia="Times New Roman" w:hAnsi="Arial Black" w:cs="Arial"/>
                <w:color w:val="000000"/>
                <w:spacing w:val="2"/>
                <w:sz w:val="19"/>
                <w:szCs w:val="19"/>
                <w:shd w:val="clear" w:color="auto" w:fill="89F641"/>
                <w:lang w:eastAsia="ru-RU"/>
              </w:rPr>
              <w:br/>
            </w:r>
          </w:p>
        </w:tc>
      </w:tr>
    </w:tbl>
    <w:p w:rsidR="00AC6179" w:rsidRDefault="00CB746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5CD809"/>
          <w:lang w:eastAsia="ru-RU"/>
        </w:rPr>
      </w:pPr>
      <w:r w:rsidRPr="0015608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br/>
      </w:r>
      <w:r w:rsidRPr="000F3B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5CD809"/>
          <w:lang w:eastAsia="ru-RU"/>
        </w:rPr>
        <w:t>Напоминаю, при</w:t>
      </w:r>
      <w:r w:rsidRPr="000F3B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5CD809"/>
          <w:lang w:eastAsia="ru-RU"/>
        </w:rPr>
        <w:t> предоставлении копий, заявителям необходимо при себе иметь оригиналы вышеперечисленных документов</w:t>
      </w:r>
      <w:proofErr w:type="gramStart"/>
      <w:r w:rsidRPr="000F3B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5CD809"/>
          <w:lang w:eastAsia="ru-RU"/>
        </w:rPr>
        <w:t xml:space="preserve"> ,</w:t>
      </w:r>
      <w:proofErr w:type="gramEnd"/>
      <w:r w:rsidRPr="000F3B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5CD809"/>
          <w:lang w:eastAsia="ru-RU"/>
        </w:rPr>
        <w:t xml:space="preserve"> если копии нотариально не заверены. Если предоставленные копии документов нотариально не заверены, специалист отдела,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0F3B6E" w:rsidRPr="000F3B6E" w:rsidRDefault="000F3B6E">
      <w:pPr>
        <w:rPr>
          <w:rFonts w:ascii="Times New Roman" w:hAnsi="Times New Roman" w:cs="Times New Roman"/>
        </w:rPr>
      </w:pPr>
    </w:p>
    <w:sectPr w:rsidR="000F3B6E" w:rsidRPr="000F3B6E" w:rsidSect="002579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46C"/>
    <w:rsid w:val="000F3B6E"/>
    <w:rsid w:val="00137B8A"/>
    <w:rsid w:val="00156085"/>
    <w:rsid w:val="00257966"/>
    <w:rsid w:val="00361FCE"/>
    <w:rsid w:val="004E1B63"/>
    <w:rsid w:val="0066480B"/>
    <w:rsid w:val="008D339E"/>
    <w:rsid w:val="00900448"/>
    <w:rsid w:val="00AC6179"/>
    <w:rsid w:val="00CB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CB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B746C"/>
    <w:rPr>
      <w:b/>
      <w:bCs/>
    </w:rPr>
  </w:style>
  <w:style w:type="character" w:styleId="a4">
    <w:name w:val="Hyperlink"/>
    <w:basedOn w:val="a0"/>
    <w:uiPriority w:val="99"/>
    <w:semiHidden/>
    <w:unhideWhenUsed/>
    <w:rsid w:val="00CB746C"/>
    <w:rPr>
      <w:color w:val="0000FF"/>
      <w:u w:val="single"/>
    </w:rPr>
  </w:style>
  <w:style w:type="paragraph" w:customStyle="1" w:styleId="consplusnormalmailrucssattributepostfixmailrucssattributepostfixmailrucssattributepostfix">
    <w:name w:val="consplusnormal_mailru_css_attribute_postfix_mailru_css_attribute_postfix_mailru_css_attribute_postfix"/>
    <w:basedOn w:val="a"/>
    <w:rsid w:val="00CB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CB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B7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1053">
          <w:marLeft w:val="0"/>
          <w:marRight w:val="0"/>
          <w:marTop w:val="0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law/podborki/gosposhlina_za_vydachu_razresheniya_na_ustanovku_reklamnoj_konstrukc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165/7f6aa2a30ed6c4b39a5890e07c7494d9c278b8ea/" TargetMode="External"/><Relationship Id="rId5" Type="http://schemas.openxmlformats.org/officeDocument/2006/relationships/hyperlink" Target="http://www.consultant.ru/document/cons_doc_LAW_28165/7f6aa2a30ed6c4b39a5890e07c7494d9c278b8ea/" TargetMode="External"/><Relationship Id="rId4" Type="http://schemas.openxmlformats.org/officeDocument/2006/relationships/hyperlink" Target="https://egrul.nalog.ru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7</cp:revision>
  <dcterms:created xsi:type="dcterms:W3CDTF">2019-10-22T08:04:00Z</dcterms:created>
  <dcterms:modified xsi:type="dcterms:W3CDTF">2020-12-14T09:37:00Z</dcterms:modified>
</cp:coreProperties>
</file>