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98" w:rsidRDefault="003D7898" w:rsidP="00924BE6">
      <w:pPr>
        <w:jc w:val="center"/>
      </w:pPr>
    </w:p>
    <w:p w:rsidR="003D7898" w:rsidRDefault="003D7898" w:rsidP="00924BE6">
      <w:pPr>
        <w:jc w:val="center"/>
      </w:pPr>
      <w:r w:rsidRPr="003D7898">
        <w:rPr>
          <w:b/>
          <w:bCs/>
        </w:rPr>
        <w:drawing>
          <wp:inline distT="0" distB="0" distL="0" distR="0">
            <wp:extent cx="54229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898" w:rsidRPr="003D7898" w:rsidRDefault="00924BE6" w:rsidP="00924BE6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t xml:space="preserve"> </w:t>
      </w:r>
      <w:r w:rsidRP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Территориальная избират</w:t>
      </w:r>
      <w:r w:rsidR="003D7898" w:rsidRP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ельная комиссия </w:t>
      </w:r>
    </w:p>
    <w:p w:rsidR="00924BE6" w:rsidRPr="003D7898" w:rsidRDefault="003D7898" w:rsidP="00924BE6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Суоярвского</w:t>
      </w:r>
      <w:proofErr w:type="spellEnd"/>
      <w:r w:rsidR="00924BE6" w:rsidRP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района</w:t>
      </w:r>
    </w:p>
    <w:p w:rsidR="00924BE6" w:rsidRPr="003D7898" w:rsidRDefault="00924BE6" w:rsidP="00924BE6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</w:t>
      </w:r>
      <w:proofErr w:type="gramEnd"/>
      <w:r w:rsidRP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 Ш Е Н И Е</w:t>
      </w:r>
    </w:p>
    <w:p w:rsidR="00924BE6" w:rsidRPr="00535620" w:rsidRDefault="00924BE6" w:rsidP="00924BE6">
      <w:pPr>
        <w:spacing w:after="160" w:line="259" w:lineRule="auto"/>
        <w:ind w:left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535620"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09</w:t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535620"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сентября </w:t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</w:t>
      </w:r>
      <w:r w:rsidR="00535620"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21</w:t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года</w:t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5356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3D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№ 19/75-05</w:t>
      </w:r>
    </w:p>
    <w:p w:rsidR="00924BE6" w:rsidRPr="00535620" w:rsidRDefault="003D7898" w:rsidP="00924BE6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.С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уоярви</w:t>
      </w:r>
      <w:proofErr w:type="spellEnd"/>
    </w:p>
    <w:p w:rsidR="00D713A4" w:rsidRDefault="00D713A4" w:rsidP="00D713A4">
      <w:pPr>
        <w:pStyle w:val="1"/>
        <w:shd w:val="clear" w:color="auto" w:fill="auto"/>
        <w:spacing w:line="240" w:lineRule="auto"/>
        <w:ind w:left="79" w:right="62" w:firstLine="822"/>
        <w:jc w:val="center"/>
        <w:rPr>
          <w:b/>
        </w:rPr>
      </w:pPr>
      <w:r>
        <w:rPr>
          <w:b/>
        </w:rPr>
        <w:t xml:space="preserve">О перечне избирательных участков, где будет проводиться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</w:t>
      </w:r>
      <w:proofErr w:type="gramStart"/>
      <w:r>
        <w:rPr>
          <w:b/>
        </w:rPr>
        <w:t>сообщение</w:t>
      </w:r>
      <w:proofErr w:type="gramEnd"/>
      <w:r>
        <w:rPr>
          <w:b/>
        </w:rPr>
        <w:t xml:space="preserve"> с которыми затруднено, на выборах, назначенных на 19 сентября 2021 года</w:t>
      </w:r>
    </w:p>
    <w:p w:rsidR="00123914" w:rsidRPr="00924BE6" w:rsidRDefault="00123914" w:rsidP="00D713A4">
      <w:pPr>
        <w:pStyle w:val="1"/>
        <w:shd w:val="clear" w:color="auto" w:fill="auto"/>
        <w:spacing w:line="240" w:lineRule="auto"/>
        <w:ind w:left="79" w:right="62" w:firstLine="822"/>
        <w:jc w:val="center"/>
        <w:rPr>
          <w:b/>
        </w:rPr>
      </w:pPr>
    </w:p>
    <w:p w:rsidR="00123914" w:rsidRDefault="0025570A" w:rsidP="0025570A">
      <w:pPr>
        <w:pStyle w:val="1"/>
        <w:shd w:val="clear" w:color="auto" w:fill="auto"/>
        <w:tabs>
          <w:tab w:val="left" w:leader="underscore" w:pos="5794"/>
        </w:tabs>
        <w:spacing w:line="360" w:lineRule="auto"/>
        <w:ind w:left="79" w:right="62" w:firstLine="822"/>
        <w:jc w:val="both"/>
      </w:pPr>
      <w:proofErr w:type="gramStart"/>
      <w:r>
        <w:t>В соо</w:t>
      </w:r>
      <w:r w:rsidR="00D713A4">
        <w:t>тветствии с положениями</w:t>
      </w:r>
      <w:r>
        <w:t xml:space="preserve"> статьи 6</w:t>
      </w:r>
      <w:r w:rsidR="00D713A4">
        <w:t>3.1</w:t>
      </w:r>
      <w:r>
        <w:t xml:space="preserve"> Федерального закона от 12  июня 2002 года № 67-ФЗ «Об основных гарантиях избирательных прав и права на участие в референдуме граждан Российской Федерации», </w:t>
      </w:r>
      <w:r w:rsidR="00D713A4">
        <w:t xml:space="preserve">пункта 1.4 Положения об особенностях голосования, установления итогов </w:t>
      </w:r>
      <w:r w:rsidR="00D6740B">
        <w:t>при проведении голосования на выборах, референдумах, назначенных на 19 сентября 2021 года,  в течение нескольких дней подряд, утвержденного постановлением Центральной избирательной комиссии Российской Федерации</w:t>
      </w:r>
      <w:proofErr w:type="gramEnd"/>
      <w:r w:rsidR="00D6740B">
        <w:t xml:space="preserve"> от 01 июля 2021 года № 13/103-8, </w:t>
      </w:r>
      <w:r w:rsidR="00497A26" w:rsidRPr="00497A26">
        <w:t xml:space="preserve">постановлением Центральной избирательной комиссии Республики Карелия от </w:t>
      </w:r>
      <w:r w:rsidR="00D6740B">
        <w:t>07 сентября 2021 года №</w:t>
      </w:r>
      <w:r w:rsidR="00535620" w:rsidRPr="00535620">
        <w:t xml:space="preserve"> 144/1330-6</w:t>
      </w:r>
      <w:r w:rsidR="00D6740B">
        <w:t xml:space="preserve"> «</w:t>
      </w:r>
      <w:r w:rsidR="00535620" w:rsidRPr="00535620">
        <w:t xml:space="preserve">О согласовании 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</w:t>
      </w:r>
      <w:proofErr w:type="gramStart"/>
      <w:r w:rsidR="00535620" w:rsidRPr="00535620">
        <w:t>сообщение</w:t>
      </w:r>
      <w:proofErr w:type="gramEnd"/>
      <w:r w:rsidR="00535620" w:rsidRPr="00535620">
        <w:t xml:space="preserve"> с которыми затруднено, на выборах депутатов Государственной Думы Федерального Собрания Российской Федерации восьмого созыва, депутатов Законодательного Собрания Республики Карелия седьмого созыва, муниципальных выборах, назна</w:t>
      </w:r>
      <w:r w:rsidR="00535620">
        <w:t>ченных на 19 сентября 2021 года</w:t>
      </w:r>
      <w:r w:rsidR="00D6740B">
        <w:t xml:space="preserve">» </w:t>
      </w:r>
      <w:r>
        <w:t>Террит</w:t>
      </w:r>
      <w:r w:rsidR="003D7898">
        <w:t xml:space="preserve">ориальная избирательная комиссия </w:t>
      </w:r>
      <w:proofErr w:type="spellStart"/>
      <w:r w:rsidR="003D7898">
        <w:t>Суоярвского</w:t>
      </w:r>
      <w:proofErr w:type="spellEnd"/>
      <w:r w:rsidR="003D7898">
        <w:t xml:space="preserve"> района </w:t>
      </w:r>
      <w:r w:rsidR="003D7898" w:rsidRPr="003D7898">
        <w:rPr>
          <w:b/>
        </w:rPr>
        <w:t>РЕШИЛА</w:t>
      </w:r>
      <w:r>
        <w:t>:</w:t>
      </w:r>
    </w:p>
    <w:p w:rsidR="00123914" w:rsidRDefault="0025570A" w:rsidP="008821DC">
      <w:pPr>
        <w:pStyle w:val="1"/>
        <w:shd w:val="clear" w:color="auto" w:fill="auto"/>
        <w:ind w:left="80" w:firstLine="820"/>
        <w:jc w:val="both"/>
      </w:pPr>
      <w:r>
        <w:t xml:space="preserve">1. </w:t>
      </w:r>
      <w:r w:rsidR="003D7898">
        <w:t>Определить перечень</w:t>
      </w:r>
      <w:r w:rsidR="00D6740B">
        <w:t xml:space="preserve"> </w:t>
      </w:r>
      <w:r w:rsidR="00D6740B" w:rsidRPr="00D6740B">
        <w:t xml:space="preserve">избирательных участков, где будет проводиться голосование групп избирателей, которые проживают (находятся) в населенных </w:t>
      </w:r>
      <w:r w:rsidR="00D6740B" w:rsidRPr="00D6740B">
        <w:lastRenderedPageBreak/>
        <w:t xml:space="preserve">пунктах и иных местах, где отсутствуют помещения для голосования и транспортное </w:t>
      </w:r>
      <w:proofErr w:type="gramStart"/>
      <w:r w:rsidR="00D6740B" w:rsidRPr="00D6740B">
        <w:t>сообщение</w:t>
      </w:r>
      <w:proofErr w:type="gramEnd"/>
      <w:r w:rsidR="00D6740B" w:rsidRPr="00D6740B">
        <w:t xml:space="preserve"> с которыми затруднено</w:t>
      </w:r>
      <w:r w:rsidR="00F70B5C">
        <w:t xml:space="preserve"> (далее – дополнительная форма голосования)</w:t>
      </w:r>
      <w:r w:rsidR="00D6740B" w:rsidRPr="00D6740B">
        <w:t>, на выборах, назначенных на 19 сентября 2021 года</w:t>
      </w:r>
      <w:r w:rsidR="00D6740B">
        <w:t xml:space="preserve"> </w:t>
      </w:r>
      <w:r>
        <w:t>согласно приложению.</w:t>
      </w:r>
    </w:p>
    <w:p w:rsidR="00F70B5C" w:rsidRDefault="003D7898" w:rsidP="0025570A">
      <w:pPr>
        <w:pStyle w:val="1"/>
        <w:shd w:val="clear" w:color="auto" w:fill="auto"/>
        <w:ind w:left="80" w:right="60" w:firstLine="820"/>
        <w:jc w:val="both"/>
      </w:pPr>
      <w:r>
        <w:t>2. Участковой избирательной</w:t>
      </w:r>
      <w:r w:rsidR="0025570A">
        <w:t xml:space="preserve"> </w:t>
      </w:r>
      <w:r>
        <w:t>комиссии указанной</w:t>
      </w:r>
      <w:r w:rsidR="00535620">
        <w:t xml:space="preserve"> в перечне избирательных участков</w:t>
      </w:r>
      <w:r w:rsidR="00D6740B">
        <w:t xml:space="preserve"> </w:t>
      </w:r>
      <w:r w:rsidR="0025570A">
        <w:t xml:space="preserve">в срок не позднее </w:t>
      </w:r>
      <w:r w:rsidR="00D6740B">
        <w:t>15 сентября 2021 года</w:t>
      </w:r>
      <w:r w:rsidR="0025570A">
        <w:t xml:space="preserve"> </w:t>
      </w:r>
      <w:r w:rsidR="00D6740B">
        <w:t>довести до сведения избирателей соответствующего избирательного участка инф</w:t>
      </w:r>
      <w:r w:rsidR="0025570A">
        <w:t>ор</w:t>
      </w:r>
      <w:r w:rsidR="00D6740B">
        <w:t xml:space="preserve">мацию о дате, времени и адресах (описаниях мест) проведения </w:t>
      </w:r>
      <w:r w:rsidR="00F70B5C">
        <w:t>дополнительной формы голосования, в том числе путем размещения объявлений в доступных для всех местах.</w:t>
      </w:r>
    </w:p>
    <w:p w:rsidR="00C231B6" w:rsidRDefault="0025570A">
      <w:pPr>
        <w:pStyle w:val="1"/>
        <w:shd w:val="clear" w:color="auto" w:fill="auto"/>
        <w:spacing w:after="120" w:line="485" w:lineRule="exact"/>
        <w:ind w:left="40" w:right="280" w:firstLine="820"/>
        <w:jc w:val="both"/>
      </w:pPr>
      <w:r>
        <w:t>3.</w:t>
      </w:r>
      <w:r w:rsidRPr="0025570A">
        <w:tab/>
      </w:r>
      <w:r w:rsidR="003D7898">
        <w:t>Обратить внимание участковой избирательной комиссии указанной в пер</w:t>
      </w:r>
      <w:r w:rsidR="00535620">
        <w:t>ечне избирательных участков</w:t>
      </w:r>
      <w:r w:rsidR="00F70B5C">
        <w:t xml:space="preserve"> на </w:t>
      </w:r>
      <w:r w:rsidR="00C231B6">
        <w:t xml:space="preserve">необходимость </w:t>
      </w:r>
      <w:proofErr w:type="gramStart"/>
      <w:r w:rsidR="00C231B6">
        <w:t>оборудования мест проведения дополнительной формы голосования</w:t>
      </w:r>
      <w:proofErr w:type="gramEnd"/>
      <w:r w:rsidR="00C231B6">
        <w:t xml:space="preserve"> переносными ящиками для голосования, местами для тайного голосования (настольная ширма или кабина для тайного голосования), местами для выдачи бюллетеней, информационными материалами, местами для размещения членов участковой избирательной комиссии и наблюдателей.</w:t>
      </w:r>
    </w:p>
    <w:p w:rsidR="00123914" w:rsidRDefault="00C231B6" w:rsidP="00C231B6">
      <w:pPr>
        <w:pStyle w:val="1"/>
        <w:numPr>
          <w:ilvl w:val="0"/>
          <w:numId w:val="1"/>
        </w:numPr>
        <w:shd w:val="clear" w:color="auto" w:fill="auto"/>
        <w:tabs>
          <w:tab w:val="left" w:pos="1468"/>
        </w:tabs>
        <w:spacing w:line="485" w:lineRule="exact"/>
        <w:ind w:left="40" w:right="280" w:firstLine="820"/>
        <w:jc w:val="both"/>
      </w:pPr>
      <w:r>
        <w:t xml:space="preserve"> </w:t>
      </w:r>
      <w:r w:rsidR="0025570A">
        <w:t>Направить настоящее решение в Центральную избирательную комиссию Респуб</w:t>
      </w:r>
      <w:r w:rsidR="003D7898">
        <w:t>лики Карелия и в соответствующую участковую избирательную комиссию</w:t>
      </w:r>
      <w:r w:rsidR="0025570A">
        <w:t>.</w:t>
      </w:r>
    </w:p>
    <w:p w:rsidR="00123914" w:rsidRDefault="0025570A">
      <w:pPr>
        <w:pStyle w:val="1"/>
        <w:numPr>
          <w:ilvl w:val="0"/>
          <w:numId w:val="1"/>
        </w:numPr>
        <w:shd w:val="clear" w:color="auto" w:fill="auto"/>
        <w:tabs>
          <w:tab w:val="left" w:pos="1458"/>
          <w:tab w:val="left" w:leader="underscore" w:pos="8577"/>
        </w:tabs>
        <w:spacing w:after="420"/>
        <w:ind w:left="40" w:right="280" w:firstLine="820"/>
        <w:jc w:val="both"/>
      </w:pPr>
      <w:r>
        <w:t xml:space="preserve">Контроль за исполнением настоящего решения возложить на </w:t>
      </w:r>
      <w:r w:rsidR="003D7898">
        <w:t>председателя</w:t>
      </w:r>
      <w:r>
        <w:t xml:space="preserve"> Территориальной избирательной </w:t>
      </w:r>
      <w:r w:rsidR="003D7898">
        <w:t xml:space="preserve">комиссии </w:t>
      </w:r>
      <w:proofErr w:type="spellStart"/>
      <w:r w:rsidR="003D7898">
        <w:t>Суоярвского</w:t>
      </w:r>
      <w:proofErr w:type="spellEnd"/>
      <w:r w:rsidR="003D7898">
        <w:t xml:space="preserve"> района</w:t>
      </w:r>
      <w:bookmarkStart w:id="0" w:name="_GoBack"/>
      <w:bookmarkEnd w:id="0"/>
      <w:r>
        <w:t>.</w:t>
      </w:r>
    </w:p>
    <w:p w:rsidR="0025570A" w:rsidRDefault="003D7898" w:rsidP="0025570A">
      <w:pPr>
        <w:pStyle w:val="1"/>
        <w:shd w:val="clear" w:color="auto" w:fill="auto"/>
        <w:tabs>
          <w:tab w:val="left" w:leader="underscore" w:pos="1674"/>
        </w:tabs>
        <w:ind w:left="40" w:right="-26"/>
      </w:pPr>
      <w:r>
        <w:t xml:space="preserve">     </w:t>
      </w:r>
      <w:r w:rsidR="0025570A">
        <w:t xml:space="preserve">Председатель </w:t>
      </w:r>
      <w:r>
        <w:t xml:space="preserve">ТИК                                                                 М.С. </w:t>
      </w:r>
      <w:proofErr w:type="spellStart"/>
      <w:r>
        <w:t>Хлопкина</w:t>
      </w:r>
      <w:proofErr w:type="spellEnd"/>
    </w:p>
    <w:p w:rsidR="003D7898" w:rsidRDefault="003D7898" w:rsidP="0025570A">
      <w:pPr>
        <w:pStyle w:val="1"/>
        <w:shd w:val="clear" w:color="auto" w:fill="auto"/>
        <w:tabs>
          <w:tab w:val="left" w:leader="underscore" w:pos="1674"/>
        </w:tabs>
        <w:ind w:left="40" w:right="-26"/>
      </w:pPr>
      <w:r>
        <w:t xml:space="preserve">     </w:t>
      </w:r>
    </w:p>
    <w:p w:rsidR="0025570A" w:rsidRDefault="003D7898" w:rsidP="003D7898">
      <w:pPr>
        <w:pStyle w:val="1"/>
        <w:shd w:val="clear" w:color="auto" w:fill="auto"/>
        <w:tabs>
          <w:tab w:val="left" w:leader="underscore" w:pos="1674"/>
          <w:tab w:val="left" w:pos="7230"/>
        </w:tabs>
        <w:ind w:left="40" w:right="-26"/>
      </w:pPr>
      <w:r>
        <w:t xml:space="preserve">         </w:t>
      </w:r>
      <w:r w:rsidR="0025570A">
        <w:t>Секретарь</w:t>
      </w:r>
      <w:r>
        <w:t xml:space="preserve"> ТИК                                                                   С.Ф.</w:t>
      </w:r>
      <w:r w:rsidR="00096EC5">
        <w:t xml:space="preserve"> </w:t>
      </w:r>
      <w:r>
        <w:t>Никитина</w:t>
      </w:r>
    </w:p>
    <w:p w:rsidR="0025570A" w:rsidRDefault="0025570A" w:rsidP="0025570A">
      <w:pPr>
        <w:pStyle w:val="1"/>
        <w:shd w:val="clear" w:color="auto" w:fill="auto"/>
        <w:tabs>
          <w:tab w:val="left" w:leader="underscore" w:pos="1674"/>
        </w:tabs>
        <w:ind w:left="40" w:right="-26"/>
      </w:pPr>
    </w:p>
    <w:p w:rsidR="0025570A" w:rsidRDefault="0025570A">
      <w:pPr>
        <w:rPr>
          <w:rFonts w:ascii="Times New Roman" w:eastAsia="Times New Roman" w:hAnsi="Times New Roman" w:cs="Times New Roman"/>
          <w:sz w:val="27"/>
          <w:szCs w:val="27"/>
        </w:rPr>
      </w:pPr>
      <w:r>
        <w:br w:type="page"/>
      </w:r>
    </w:p>
    <w:p w:rsidR="00123914" w:rsidRDefault="0025570A" w:rsidP="0025570A">
      <w:pPr>
        <w:pStyle w:val="1"/>
        <w:shd w:val="clear" w:color="auto" w:fill="auto"/>
        <w:tabs>
          <w:tab w:val="left" w:leader="underscore" w:pos="1674"/>
        </w:tabs>
        <w:ind w:left="40" w:right="-26"/>
        <w:jc w:val="right"/>
      </w:pPr>
      <w:r>
        <w:lastRenderedPageBreak/>
        <w:t>Приложение к решению Территориальной</w:t>
      </w:r>
    </w:p>
    <w:p w:rsidR="00123914" w:rsidRDefault="003D7898">
      <w:pPr>
        <w:pStyle w:val="1"/>
        <w:shd w:val="clear" w:color="auto" w:fill="auto"/>
        <w:tabs>
          <w:tab w:val="left" w:leader="underscore" w:pos="9273"/>
          <w:tab w:val="left" w:leader="underscore" w:pos="9474"/>
        </w:tabs>
        <w:spacing w:line="322" w:lineRule="exact"/>
        <w:ind w:left="5140"/>
      </w:pPr>
      <w:r>
        <w:t xml:space="preserve">избирательной комиссии </w:t>
      </w:r>
      <w:proofErr w:type="spellStart"/>
      <w:r>
        <w:t>Суоярвского</w:t>
      </w:r>
      <w:proofErr w:type="spellEnd"/>
      <w:r>
        <w:t xml:space="preserve"> района</w:t>
      </w:r>
    </w:p>
    <w:p w:rsidR="00123914" w:rsidRDefault="003D7898">
      <w:pPr>
        <w:pStyle w:val="1"/>
        <w:shd w:val="clear" w:color="auto" w:fill="auto"/>
        <w:tabs>
          <w:tab w:val="left" w:leader="underscore" w:pos="7462"/>
          <w:tab w:val="left" w:leader="underscore" w:pos="9661"/>
        </w:tabs>
        <w:spacing w:after="956" w:line="322" w:lineRule="exact"/>
        <w:ind w:left="5840"/>
      </w:pPr>
      <w:r>
        <w:t>от 09.09.2021г.№ 19/75-05</w:t>
      </w:r>
    </w:p>
    <w:p w:rsidR="00514980" w:rsidRPr="00514980" w:rsidRDefault="00514980" w:rsidP="003D7898">
      <w:pPr>
        <w:pStyle w:val="1"/>
        <w:shd w:val="clear" w:color="auto" w:fill="auto"/>
        <w:spacing w:line="240" w:lineRule="auto"/>
        <w:ind w:left="80" w:firstLine="820"/>
        <w:jc w:val="center"/>
        <w:rPr>
          <w:b/>
        </w:rPr>
      </w:pPr>
      <w:r>
        <w:rPr>
          <w:b/>
        </w:rPr>
        <w:t>П</w:t>
      </w:r>
      <w:r w:rsidRPr="00514980">
        <w:rPr>
          <w:b/>
        </w:rPr>
        <w:t>еречень избирательных участков,</w:t>
      </w:r>
    </w:p>
    <w:p w:rsidR="00514980" w:rsidRDefault="00514980" w:rsidP="003D7898">
      <w:pPr>
        <w:pStyle w:val="1"/>
        <w:shd w:val="clear" w:color="auto" w:fill="auto"/>
        <w:spacing w:line="240" w:lineRule="auto"/>
        <w:ind w:left="80" w:firstLine="820"/>
        <w:jc w:val="center"/>
        <w:rPr>
          <w:b/>
        </w:rPr>
      </w:pPr>
      <w:r w:rsidRPr="00514980">
        <w:rPr>
          <w:b/>
        </w:rPr>
        <w:t xml:space="preserve">где будет проводиться дополнительная форма голосования на выборах, назначенных на 19 сентября 2021 года </w:t>
      </w:r>
    </w:p>
    <w:p w:rsidR="003D7898" w:rsidRDefault="003D7898" w:rsidP="003D7898">
      <w:pPr>
        <w:pStyle w:val="1"/>
        <w:shd w:val="clear" w:color="auto" w:fill="auto"/>
        <w:spacing w:line="240" w:lineRule="auto"/>
        <w:ind w:left="80" w:firstLine="82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2962"/>
        <w:gridCol w:w="1560"/>
        <w:gridCol w:w="2409"/>
      </w:tblGrid>
      <w:tr w:rsidR="00096EC5" w:rsidTr="008D42FB">
        <w:trPr>
          <w:trHeight w:val="114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Default="00096EC5" w:rsidP="00096EC5">
            <w:pPr>
              <w:pStyle w:val="40"/>
              <w:framePr w:wrap="notBeside" w:vAnchor="text" w:hAnchor="page" w:x="2146" w:y="94"/>
              <w:shd w:val="clear" w:color="auto" w:fill="auto"/>
              <w:spacing w:line="240" w:lineRule="auto"/>
              <w:ind w:left="380"/>
            </w:pPr>
            <w:r>
              <w:t>№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pacing w:line="240" w:lineRule="auto"/>
              <w:ind w:left="240"/>
            </w:pPr>
            <w:r>
              <w:t>УИК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 xml:space="preserve">Адрес (описание места) проведения 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pacing w:line="240" w:lineRule="auto"/>
              <w:ind w:left="12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>Численность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>избирателей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 xml:space="preserve"> 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pacing w:line="240" w:lineRule="auto"/>
              <w:ind w:left="12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>Дата проведения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 xml:space="preserve"> 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hd w:val="clear" w:color="auto" w:fill="auto"/>
              <w:spacing w:line="240" w:lineRule="auto"/>
              <w:ind w:left="120"/>
            </w:pPr>
            <w:r>
              <w:t xml:space="preserve">   </w:t>
            </w:r>
          </w:p>
          <w:p w:rsidR="00096EC5" w:rsidRDefault="00096EC5" w:rsidP="00096EC5">
            <w:pPr>
              <w:pStyle w:val="20"/>
              <w:framePr w:wrap="notBeside" w:vAnchor="text" w:hAnchor="page" w:x="2146" w:y="94"/>
              <w:spacing w:line="240" w:lineRule="auto"/>
              <w:ind w:left="120"/>
            </w:pPr>
            <w:r>
              <w:t xml:space="preserve"> </w:t>
            </w:r>
          </w:p>
        </w:tc>
      </w:tr>
      <w:tr w:rsidR="00096EC5" w:rsidTr="00C231B6">
        <w:trPr>
          <w:trHeight w:val="118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Pr="003D7898" w:rsidRDefault="00096EC5" w:rsidP="00096EC5">
            <w:pPr>
              <w:framePr w:wrap="notBeside" w:vAnchor="text" w:hAnchor="page" w:x="2146" w:y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98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Default="00096EC5" w:rsidP="00096EC5">
            <w:pPr>
              <w:framePr w:wrap="notBeside" w:vAnchor="text" w:hAnchor="page" w:x="2146" w:y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98">
              <w:rPr>
                <w:rFonts w:ascii="Times New Roman" w:hAnsi="Times New Roman" w:cs="Times New Roman"/>
                <w:sz w:val="28"/>
                <w:szCs w:val="28"/>
              </w:rPr>
              <w:t>Войсковая часть</w:t>
            </w:r>
          </w:p>
          <w:p w:rsidR="00096EC5" w:rsidRPr="003D7898" w:rsidRDefault="00096EC5" w:rsidP="00096EC5">
            <w:pPr>
              <w:framePr w:wrap="notBeside" w:vAnchor="text" w:hAnchor="page" w:x="2146" w:y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УИК 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Pr="00096EC5" w:rsidRDefault="00096EC5" w:rsidP="00096EC5">
            <w:pPr>
              <w:framePr w:wrap="notBeside" w:vAnchor="text" w:hAnchor="page" w:x="2146" w:y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E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EC5" w:rsidRDefault="00096EC5" w:rsidP="00096EC5">
            <w:pPr>
              <w:framePr w:wrap="notBeside" w:vAnchor="text" w:hAnchor="page" w:x="2146" w:y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EC5">
              <w:rPr>
                <w:rFonts w:ascii="Times New Roman" w:hAnsi="Times New Roman" w:cs="Times New Roman"/>
                <w:sz w:val="28"/>
                <w:szCs w:val="28"/>
              </w:rPr>
              <w:t>17 сентября 2021 года</w:t>
            </w:r>
          </w:p>
          <w:p w:rsidR="00096EC5" w:rsidRPr="00096EC5" w:rsidRDefault="00096EC5" w:rsidP="00096EC5">
            <w:pPr>
              <w:framePr w:wrap="notBeside" w:vAnchor="text" w:hAnchor="page" w:x="2146" w:y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11 час.</w:t>
            </w:r>
          </w:p>
        </w:tc>
      </w:tr>
    </w:tbl>
    <w:p w:rsidR="00123914" w:rsidRDefault="00123914" w:rsidP="00096EC5">
      <w:pPr>
        <w:jc w:val="both"/>
        <w:rPr>
          <w:sz w:val="2"/>
          <w:szCs w:val="2"/>
        </w:rPr>
      </w:pPr>
    </w:p>
    <w:sectPr w:rsidR="00123914" w:rsidSect="0025570A">
      <w:headerReference w:type="default" r:id="rId9"/>
      <w:type w:val="continuous"/>
      <w:pgSz w:w="11905" w:h="16837"/>
      <w:pgMar w:top="851" w:right="884" w:bottom="1276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4F" w:rsidRDefault="00A5634F" w:rsidP="00123914">
      <w:r>
        <w:separator/>
      </w:r>
    </w:p>
  </w:endnote>
  <w:endnote w:type="continuationSeparator" w:id="0">
    <w:p w:rsidR="00A5634F" w:rsidRDefault="00A5634F" w:rsidP="001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4F" w:rsidRDefault="00A5634F"/>
  </w:footnote>
  <w:footnote w:type="continuationSeparator" w:id="0">
    <w:p w:rsidR="00A5634F" w:rsidRDefault="00A563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5E" w:rsidRDefault="00DD0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5A2B"/>
    <w:multiLevelType w:val="multilevel"/>
    <w:tmpl w:val="88464D3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14"/>
    <w:rsid w:val="0002485F"/>
    <w:rsid w:val="00096EC5"/>
    <w:rsid w:val="00106E13"/>
    <w:rsid w:val="00123914"/>
    <w:rsid w:val="0025570A"/>
    <w:rsid w:val="00326AF9"/>
    <w:rsid w:val="003B6E2B"/>
    <w:rsid w:val="003D7898"/>
    <w:rsid w:val="00497A26"/>
    <w:rsid w:val="00514980"/>
    <w:rsid w:val="00535620"/>
    <w:rsid w:val="00691569"/>
    <w:rsid w:val="00770F53"/>
    <w:rsid w:val="008821DC"/>
    <w:rsid w:val="00924BE6"/>
    <w:rsid w:val="00A5634F"/>
    <w:rsid w:val="00BD16E2"/>
    <w:rsid w:val="00C231B6"/>
    <w:rsid w:val="00C30613"/>
    <w:rsid w:val="00D04E71"/>
    <w:rsid w:val="00D6740B"/>
    <w:rsid w:val="00D713A4"/>
    <w:rsid w:val="00DD095E"/>
    <w:rsid w:val="00E80DDE"/>
    <w:rsid w:val="00F7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3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898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89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3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898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89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Футрик Григорий Григорьевич</dc:creator>
  <cp:lastModifiedBy>Хлопкина М С</cp:lastModifiedBy>
  <cp:revision>2</cp:revision>
  <dcterms:created xsi:type="dcterms:W3CDTF">2021-09-09T14:46:00Z</dcterms:created>
  <dcterms:modified xsi:type="dcterms:W3CDTF">2021-09-09T14:46:00Z</dcterms:modified>
</cp:coreProperties>
</file>