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4" w:rsidRDefault="008E4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 w:rsidRPr="008E4C70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3.5pt;height:70.5pt;mso-wrap-distance-left:0;mso-wrap-distance-top:0;mso-wrap-distance-right:0;mso-wrap-distance-bottom:0">
            <v:imagedata r:id="rId7" o:title=""/>
            <v:path textboxrect="0,0,0,0"/>
          </v:shape>
        </w:pict>
      </w:r>
      <w:bookmarkEnd w:id="0"/>
      <w:bookmarkEnd w:id="1"/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E6444" w:rsidRDefault="004E6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         № </w:t>
      </w:r>
      <w:r w:rsidR="00633539" w:rsidRPr="006335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</w:t>
      </w:r>
    </w:p>
    <w:p w:rsidR="004E6444" w:rsidRDefault="008302C4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6444" w:rsidRDefault="00830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</w:t>
      </w:r>
    </w:p>
    <w:p w:rsidR="004E6444" w:rsidRDefault="00830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комиссии по оценке допустимости изменения условий контрактов</w:t>
      </w:r>
    </w:p>
    <w:p w:rsidR="004E6444" w:rsidRDefault="004E64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eastAsiaTheme="minorEastAsia"/>
          <w:sz w:val="28"/>
          <w:szCs w:val="28"/>
        </w:rPr>
      </w:pPr>
    </w:p>
    <w:p w:rsidR="004E6444" w:rsidRDefault="008302C4">
      <w:pPr>
        <w:pStyle w:val="Heading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 целью реализации положений части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4E6444" w:rsidRDefault="008302C4">
      <w:pPr>
        <w:pStyle w:val="Heading1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>
        <w:rPr>
          <w:b w:val="0"/>
          <w:color w:val="000000"/>
          <w:sz w:val="28"/>
          <w:szCs w:val="28"/>
        </w:rPr>
        <w:t>Положение о комиссии по оценке допустимости изменения  условий контрактов. (Прилагается)</w:t>
      </w:r>
    </w:p>
    <w:p w:rsidR="004E6444" w:rsidRDefault="00830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Создать комиссию по оценке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допустимости изменения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условий контрактов.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44" w:rsidRDefault="0083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________________________________________________________</w:t>
      </w:r>
    </w:p>
    <w:p w:rsidR="004E6444" w:rsidRDefault="00830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Обнародовать  настоящее постановление путем размещения  на официальном сайте муниципального образования «Суоярвский район».</w:t>
      </w: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 Р.В. Петров</w:t>
      </w:r>
    </w:p>
    <w:p w:rsidR="004E6444" w:rsidRDefault="004E644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6444" w:rsidRDefault="008302C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Разослать: дело, управление делами, отдел образования и социальной политики</w:t>
      </w:r>
    </w:p>
    <w:p w:rsidR="004E6444" w:rsidRDefault="004E644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МО «Суоярвский район»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  №_____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</w:p>
    <w:p w:rsidR="004E6444" w:rsidRDefault="00830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комиссии по оценке допустимости изменения условий контрактов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4E6444" w:rsidRDefault="008302C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Положение о комиссии по оценке допустимости изменения условий контрактов (далее - Положение) устанавливает порядок создания и деятельности комиссии по оценке допустимости изменения условий контрактов (далее - Комиссия). 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созданным с целью подготовки рекомендаций по вопросам допустимости изменения существенных условий контракта в соответствии с частью 65.1 статьи 112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046F85">
        <w:rPr>
          <w:rFonts w:ascii="Times New Roman" w:hAnsi="Times New Roman" w:cs="Times New Roman"/>
          <w:sz w:val="28"/>
        </w:rPr>
        <w:t xml:space="preserve">от </w:t>
      </w:r>
      <w:r w:rsidR="00046F85">
        <w:rPr>
          <w:rFonts w:ascii="Times New Roman" w:hAnsi="Times New Roman" w:cs="Times New Roman"/>
          <w:sz w:val="28"/>
        </w:rPr>
        <w:t>0</w:t>
      </w:r>
      <w:r w:rsidRPr="00046F85">
        <w:rPr>
          <w:rFonts w:ascii="Times New Roman" w:hAnsi="Times New Roman" w:cs="Times New Roman"/>
          <w:sz w:val="28"/>
        </w:rPr>
        <w:t>5.04.2013 №44-ФЗ «О контрактной системе в сфере закупок товаров, работ, услуг для обеспечения государственных и муниципальных нужд» (далее-Федеральный закон №44-ФЗ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возникновением независящих от сторон обстоятельств, влекущих невозможность исполнения контракта.</w:t>
      </w:r>
      <w:proofErr w:type="gramEnd"/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Комиссия в своей деятельности руководствуется законодательством Российской Федерации,  методическими рекомендациями по вопросам изменения существенных условий контрактов на закупку товаров, работ,</w:t>
      </w:r>
      <w:r w:rsidR="0004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для обеспечения  нужд Республики Карелия (муниципальных нужд) утвержденными решением штаба при Главе республики Карелия по повышению устойчивости социально-экономического развития Республики Карелия в </w:t>
      </w:r>
      <w:r w:rsidR="00046F85">
        <w:rPr>
          <w:rFonts w:ascii="Times New Roman" w:hAnsi="Times New Roman" w:cs="Times New Roman"/>
          <w:sz w:val="28"/>
          <w:szCs w:val="28"/>
        </w:rPr>
        <w:t>условиях санкций от 24.03.2022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Термины и понятия используются в Положении в соответствии с их значениями, определенными Федеральным законом №44-ФЗ.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Style w:val="ConsPlusTitle"/>
        <w:ind w:firstLine="709"/>
        <w:jc w:val="center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>2. Функции, права и обязанности Комиссии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 функциям Комиссии относятся: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обоснований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рекомендаций о допустимости или недопустимости изменения условий контракта.</w:t>
      </w:r>
    </w:p>
    <w:p w:rsidR="004E6444" w:rsidRDefault="008302C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 В своей деятельности Комиссия имеет право: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в органах государственной власти, органах местного самоуправления и иных организациях информацию по вопросам,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относящимся к компетенции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приглашать на заседание Комиссии и заслушивать представителей органов государственной власти, заказчиков, а также поставщиков (подрядчиков, исполнителей).</w:t>
      </w:r>
    </w:p>
    <w:p w:rsidR="004E6444" w:rsidRDefault="008302C4">
      <w:pPr>
        <w:pStyle w:val="ConsPlusNormal"/>
        <w:spacing w:line="235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 Комиссия обязана осуществлять свою деятельность в соответствии с действующим законодательством Российской Федерации, и муниципальными правовыми актами.</w:t>
      </w:r>
    </w:p>
    <w:p w:rsidR="004E6444" w:rsidRDefault="004E644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Style w:val="ConsPlusTitle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Состав Комиссии</w:t>
      </w:r>
    </w:p>
    <w:p w:rsidR="004E6444" w:rsidRDefault="004E644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состав Комиссии включаются заместители главы администрации Муниципального Образования  «Суоярвский район», руководитель финансового управления, руководители отделов администрации, специалисты отделов администрации, специалисты муниципального казенного учреждения «Центр информационно-хозяйственного обеспечения», специалисты муниципального казенного учреждения «Центр по управлению муниципальным имуществом и земельными ресурсами Суоярвского района», специалисты муниципального казенного учреждения «Централизованная бухгалтерия».  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Состав Комиссии утверждается постановлением Администрации Муниципального Образования «Суоярвский район» (далее–администрация)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В состав Комиссии входят председатель Комиссии, заместитель председателя Комиссии, секретарь Комиссии и иные члены Комиссии. Численный состав комиссии не менее трех человек. Общее количество членов комиссии семь человек</w:t>
      </w:r>
      <w:r w:rsidR="00046F85">
        <w:rPr>
          <w:rFonts w:ascii="Times New Roman" w:hAnsi="Times New Roman" w:cs="Times New Roman"/>
          <w:sz w:val="28"/>
          <w:szCs w:val="28"/>
        </w:rPr>
        <w:t>.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Председатель Комиссии: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Комиссией;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заседания Комиссии, назначает дату, время и место проведения заседания Комиссии, определяет состав приглашенных лиц;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слово для выступлений членам Комиссии, приглашенным лицам;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на голосование предложения членов Комиссии и проекты принимаемых решений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голосования и оглашает принятые решения;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по организации деятельности Комиссии, направленные на достижение цели ее создания.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Заместитель председателя Комиссии:</w:t>
      </w:r>
    </w:p>
    <w:p w:rsidR="004E6444" w:rsidRDefault="008302C4">
      <w:pPr>
        <w:pStyle w:val="ConsPlusNormal"/>
        <w:spacing w:line="235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содействует председателю Комиссии в организации деятельности Комиссии;</w:t>
      </w:r>
    </w:p>
    <w:p w:rsidR="004E6444" w:rsidRDefault="008302C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 полномочия председателя Комиссии в случае его временного отсутствия;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по поручению председателя Комиссии, направленные на достижение цели создания Комиссии.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Секретарь Комиссии: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формирует повестку заседания Комиссии и представляет ее председателю Комиссии для утверждения и назначения даты заседания Комиссии, организует подготовку материалов к заседанию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членов Комиссии и приглашаемых на заседание лиц о дате, времени, месте проведения заседания и его повестке, а также обеспечивает направление материалов к очередному заседанию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заседания Комиссии обеспечивает регистрацию членов Комиссии, приглашенных лиц;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 заседания Комиссии, оформляет и подписывает его;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по обеспечению деятельности Комиссии и выполняет поручения председателя Комиссии, направленные </w:t>
      </w:r>
      <w:r>
        <w:rPr>
          <w:rFonts w:ascii="Times New Roman" w:hAnsi="Times New Roman" w:cs="Times New Roman"/>
          <w:sz w:val="28"/>
          <w:szCs w:val="28"/>
        </w:rPr>
        <w:br/>
        <w:t>на достижение цели создания Комиссии.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отсутствия секретаря Комиссии его полномочия исполняет один из членов Комиссии по поручению председателя Комиссии.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Члены Комиссии: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непосредственное участие в заседаниях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документами и материалами по вопросам, рассматриваемым Комиссией;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голосовании по вопросам, рассматриваемым в ходе заседания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предложения по организации деятельности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выражают особое мнение в случае несогласия с решением, принятым на заседании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иные полномочия, направленные на достижение цели создания Комиссии.</w:t>
      </w:r>
    </w:p>
    <w:p w:rsidR="004E6444" w:rsidRDefault="008302C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 Участие в деятельности Комиссии не должно приводить к 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№273-ФЗ «О противодействии коррупции».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Порядок работы Комиссии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Основной формой деятельности Комиссии является заседание. 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Заседания Комиссии проводятся по мере необходимости.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Заседание Комиссии правомочно, если в нем приняло участие более половины от установленного числа ее членов.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членов Комиссии, присутствующих </w:t>
      </w:r>
      <w:r>
        <w:rPr>
          <w:rFonts w:ascii="Times New Roman" w:hAnsi="Times New Roman"/>
          <w:sz w:val="28"/>
          <w:szCs w:val="28"/>
        </w:rPr>
        <w:br/>
        <w:t>на заседании.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При голосовании каждый член Комиссии имеет один голос. </w:t>
      </w:r>
      <w:r>
        <w:rPr>
          <w:rFonts w:ascii="Times New Roman" w:hAnsi="Times New Roman"/>
          <w:sz w:val="28"/>
          <w:szCs w:val="28"/>
        </w:rPr>
        <w:br/>
        <w:t>При равном количестве голосов членов Комиссии голос председательствующего на заседании Комиссии является решающим.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4.6. </w:t>
      </w:r>
      <w:r>
        <w:rPr>
          <w:rFonts w:ascii="Times New Roman" w:eastAsia="DejaVu Sans" w:hAnsi="Times New Roman"/>
          <w:sz w:val="28"/>
          <w:szCs w:val="28"/>
          <w:lang w:eastAsia="ru-RU"/>
        </w:rPr>
        <w:t xml:space="preserve">При несогласии любого из членов Комиссии с принятым на заседании Комиссии решением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</w:t>
      </w:r>
      <w:r>
        <w:rPr>
          <w:rFonts w:ascii="Times New Roman" w:eastAsia="DejaVu Sans" w:hAnsi="Times New Roman"/>
          <w:sz w:val="28"/>
          <w:szCs w:val="28"/>
          <w:lang w:eastAsia="ru-RU"/>
        </w:rPr>
        <w:lastRenderedPageBreak/>
        <w:t>особого мнения записывается в протокол после записи соответствующего решения.</w:t>
      </w:r>
    </w:p>
    <w:p w:rsidR="004E6444" w:rsidRDefault="004E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444" w:rsidRDefault="008302C4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5. Порядок рассмотрения вопросов о </w:t>
      </w:r>
      <w:r>
        <w:rPr>
          <w:rFonts w:ascii="Times New Roman" w:eastAsia="Times New Roman" w:hAnsi="Times New Roman" w:cs="Calibri"/>
          <w:sz w:val="28"/>
          <w:szCs w:val="28"/>
        </w:rPr>
        <w:t>допустимости</w:t>
      </w:r>
      <w:r>
        <w:rPr>
          <w:rFonts w:ascii="Times New Roman" w:hAnsi="Times New Roman"/>
          <w:sz w:val="28"/>
          <w:szCs w:val="28"/>
        </w:rPr>
        <w:t xml:space="preserve"> изменения условий контрактов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Вопрос о </w:t>
      </w:r>
      <w:r>
        <w:rPr>
          <w:rFonts w:ascii="Times New Roman" w:eastAsia="Times New Roman" w:hAnsi="Times New Roman" w:cs="Calibri"/>
          <w:sz w:val="28"/>
          <w:szCs w:val="28"/>
        </w:rPr>
        <w:t>допустимости изменения существенных условий контракта</w:t>
      </w:r>
      <w:r>
        <w:rPr>
          <w:rFonts w:ascii="Times New Roman" w:hAnsi="Times New Roman"/>
          <w:sz w:val="28"/>
          <w:szCs w:val="28"/>
        </w:rPr>
        <w:t xml:space="preserve"> рассматривается Комиссией в соответствии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частью 65.1 статьи 112 Федерального закона №44-ФЗ в случае, если при исполнении контракта, заключенного до 01.01.2023, возникли независящие от сторон контракта обстоятельства, влекущие невозможность его исполнения.</w:t>
      </w:r>
    </w:p>
    <w:p w:rsidR="004E6444" w:rsidRDefault="008302C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 Предусмотренное частью 65.1 статьи 112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 44-ФЗ изменение существенных условий контракта допускается при совокупности следующих условий: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 заключен до 1 января 2023 года, и при его исполнении возникли независящие от сторон контракта обстоятельства, влекущие невозможность его исполнения, и обязательства по нему на дату заключения дополнительного соглашения об изменении существенных условий контракта не исполнены;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существенных условий контракта осуществляется на основании постановления Администрации; 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существенных условий контракта осуществляется в </w:t>
      </w:r>
      <w:r w:rsidR="00046F85">
        <w:rPr>
          <w:rFonts w:ascii="Times New Roman" w:hAnsi="Times New Roman"/>
          <w:sz w:val="28"/>
          <w:szCs w:val="28"/>
        </w:rPr>
        <w:t>пределах,</w:t>
      </w:r>
      <w:r>
        <w:rPr>
          <w:rFonts w:ascii="Times New Roman" w:hAnsi="Times New Roman"/>
          <w:sz w:val="28"/>
          <w:szCs w:val="28"/>
        </w:rP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контракта;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существенных условий контракта осуществляется путем заключения между заказчиком и поставщиком (подрядчиком, исполнителем) дополнительного соглашения к контракту об изменении существенных условий контракта;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изменение существенных условий контракта осуществляется с соблюдением положений частей 1.3 - 1.6 статьи 95 Федерального закона № 44-ФЗ:</w:t>
      </w:r>
    </w:p>
    <w:p w:rsidR="004E6444" w:rsidRDefault="008302C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случае если изменение существенных условий контракта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Федерального закона № 44-ФЗ  при определении поставщика (подрядчика, исполнителя), заключение дополнительного соглашения осуществляется после представления поставщиком (подрядчиком, исполнителем) обеспечения исполнения контракта;</w:t>
      </w:r>
      <w:proofErr w:type="gramEnd"/>
    </w:p>
    <w:p w:rsidR="004E6444" w:rsidRDefault="008302C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уменьшения цены контракта заказчик возвращает поставщику (подрядчику, исполнителю) денежные средства в размере, пропорциональном размеру такого уменьшения цены контракта;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 случае изменения срока исполнения контракта по соглашению сторон устанавливается новый срок возврата заказчиком поставщику (подрядчику, исполнителю) денежных средств, внесенных в качестве обеспечения исполнения контракта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 В целях рассмотрения на заседании Комиссии вопроса </w:t>
      </w:r>
      <w:r>
        <w:rPr>
          <w:rFonts w:ascii="Times New Roman" w:hAnsi="Times New Roman"/>
          <w:sz w:val="28"/>
          <w:szCs w:val="28"/>
        </w:rPr>
        <w:br/>
        <w:t xml:space="preserve">о </w:t>
      </w:r>
      <w:r>
        <w:rPr>
          <w:rFonts w:ascii="Times New Roman" w:eastAsia="Times New Roman" w:hAnsi="Times New Roman" w:cs="Calibri"/>
          <w:sz w:val="28"/>
          <w:szCs w:val="28"/>
        </w:rPr>
        <w:t>допустимости изменения условий контракта заказчик самостоятельно или на основании обращения поставщика (подрядчика, исполнителя) подготавливает обоснование изменения условий контракта.</w:t>
      </w:r>
      <w:r w:rsidR="00046F85">
        <w:rPr>
          <w:rFonts w:ascii="Times New Roman" w:eastAsia="Times New Roman" w:hAnsi="Times New Roman" w:cs="Calibri"/>
          <w:sz w:val="28"/>
          <w:szCs w:val="28"/>
        </w:rPr>
        <w:t xml:space="preserve"> Обращение поставщика (подрядчика, исполнителя) подается в приемную администрации.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5.3.1. При изменении существенных условий контракта в соответствии с частью 65.1 статьи 112 Федерального закона №44-ФЗ в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срок, на который продлевается исполнение контракта, а также обоснование целесообразности переноса срока (при изменении срока исполнения контракта);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причинно-следственная связь между объектом закупки и обстоятельствами, влекущими невозможность исполнения контракта, в том числе обоснование независимости от воли сторон указанных обстоятельств;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о не превышении (превышении) лимитов бюджетных обязательств, доведенных на срок исполнения контракта, в случае изменения цены контракта.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Изменение существенных условий контракта осуществляется в следующем порядке: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Если стороной по контракту является Администрация, то,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 (при наличии), а также с указанием условий контракта, подлежащих изменению, комиссия рассматривает поступившее предложение.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поступившего предложения комиссия принимает решение о целесообразности изменения существенных условий контракта или о нецелесообразности изменения таких условий.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целесообразности изменения существенных условий контракта, </w:t>
      </w:r>
      <w:r w:rsidR="00912434">
        <w:rPr>
          <w:rFonts w:ascii="Times New Roman" w:hAnsi="Times New Roman" w:cs="Times New Roman"/>
          <w:sz w:val="28"/>
          <w:szCs w:val="28"/>
        </w:rPr>
        <w:t>МКУ</w:t>
      </w:r>
      <w:r w:rsidR="00912434">
        <w:rPr>
          <w:rFonts w:ascii="Times New Roman" w:eastAsia="Times New Roman" w:hAnsi="Times New Roman" w:cs="Calibri"/>
          <w:sz w:val="28"/>
          <w:szCs w:val="28"/>
        </w:rPr>
        <w:t xml:space="preserve"> «Центр информационно-хозяйственного обеспечения»</w:t>
      </w:r>
      <w:r w:rsidR="00912434" w:rsidRPr="00A41C72">
        <w:rPr>
          <w:rFonts w:ascii="Times New Roman" w:eastAsia="Times New Roman" w:hAnsi="Times New Roman" w:cs="Calibri"/>
          <w:sz w:val="28"/>
          <w:szCs w:val="28"/>
        </w:rPr>
        <w:t xml:space="preserve"> в течение </w:t>
      </w:r>
      <w:r w:rsidR="00912434">
        <w:rPr>
          <w:rFonts w:ascii="Times New Roman" w:eastAsia="Times New Roman" w:hAnsi="Times New Roman" w:cs="Calibri"/>
          <w:sz w:val="28"/>
          <w:szCs w:val="28"/>
        </w:rPr>
        <w:t>десяти</w:t>
      </w:r>
      <w:r w:rsidR="00912434" w:rsidRPr="00A41C72">
        <w:rPr>
          <w:rFonts w:ascii="Times New Roman" w:eastAsia="Times New Roman" w:hAnsi="Times New Roman" w:cs="Calibri"/>
          <w:sz w:val="28"/>
          <w:szCs w:val="28"/>
        </w:rPr>
        <w:t xml:space="preserve"> рабочих дней со дня получения протокола заседания Комиссии готовит проект постановления об изменении условий контракта и обеспечивает его согласование с заинтересованными лицами</w:t>
      </w:r>
      <w:r w:rsidR="00912434">
        <w:rPr>
          <w:rFonts w:ascii="Times New Roman" w:eastAsia="Times New Roman" w:hAnsi="Times New Roman"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 обязательно содержит финансово-экономическое обоснование необходимости изменения существенных условий контракта,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случае, если предметом контракта является выполнение работ по строительству, реконструкции, капитальному ремонту, сносу объекта капитального строительства - положительное заключение государственной экспертизы (в случаях, установленных Градостроительным кодексом Российской Федерации) и пересчет сметной стоимости объекта.</w:t>
      </w:r>
    </w:p>
    <w:p w:rsidR="004E6444" w:rsidRDefault="008302C4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стороной по контракту является учреждение, подведомственное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«Суоярвский район» то,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 (при наличии), а также с указанием условий контракта, подлежащих изменению, такое учреждение направляет в Администрацию, письменное обращение об изменении существенных условий контракта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обращение).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должно обязательно содержать финансово-экономическое обоснование необходимости изменения существенных условий контракта, а в случае, если предметом контракта является выполнение работ по строительству, реконструкции, капитальному ремонту, сносу объекта капитального строительства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заключение государственной экспертизы (в случаях, установленных Градостроительным кодексом Российской Федерации) и пересчет сметной стоимости объекта.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 прилагаемые к нему документы (при наличии), рассматриваются комиссией. По результатам рассмотрения обращения и прилагаемых к нему документов комиссия принимает решение о целесообразности изменения существенных условий контракта или о нецелесообразности изменения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условий. </w:t>
      </w:r>
    </w:p>
    <w:p w:rsidR="004E6444" w:rsidRDefault="00830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целесообразности изменения существенных условий контракта, Администрация подготавливает проект Постановления.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прилагается пояснительная записка, содержащая: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информацию о контракте и об изменении его существенных условий;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об основных обязательствах сторон контракта;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национальный и (или) федеральный проект, государственную программу Российской Федерации и (или) Республики Карелия, в рамках которых предусмотрено мероприятие, в целях реализации которого заключен контракт (при наличии);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сведения об обращении поставщика (подрядчика, исполнителя), являющегося стороной контракта, об изменении существенных условий контракта и информацию обосновывающую такое предложение.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5.4.3.Решение о недопустимости изменения условий контракта в соответствии с частью 65.1 статьи 112 Федерального закона №44-ФЗ принимается Комиссией по следующим основаниям: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предоставлены недостоверные сведения и документы;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контракта повлечет превышение лимитов бюджетных обязательств, доведенных на срок исполнения контракта;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 не зависящие от воли сторон обстоятельства, влекущие (повлекшие) невозможность исполнения контракта на прежних условиях;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 причинно-следственная связь между изменением условий контракта и обстоятельствами, влекущими (повлекшие) невозможность исполнения контракта на прежних условиях.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 Решение Комиссии в течение трех рабочих дней со дня проведения заседания оформляется протоколом, который подписывается председательствующим на заседании Комиссии и секретарем Комиссии.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</w:t>
      </w:r>
      <w:r>
        <w:rPr>
          <w:rFonts w:ascii="Times New Roman" w:eastAsia="Times New Roman" w:hAnsi="Times New Roman" w:cs="Calibri"/>
          <w:sz w:val="28"/>
          <w:szCs w:val="28"/>
        </w:rPr>
        <w:t>В случае получения рекомендаций Комиссии о допустимости изменения условий контракта Администрация в течение десяти рабочих дней со дня получения протокола заседания Комиссии готовит проект постановления об изменении условий контракта и обеспечивает его согласование с заинтересованными лицами</w:t>
      </w:r>
      <w:r>
        <w:rPr>
          <w:rFonts w:ascii="Times New Roman" w:eastAsia="DejaVu Sans" w:hAnsi="Times New Roman"/>
          <w:sz w:val="28"/>
          <w:szCs w:val="28"/>
          <w:lang w:eastAsia="ru-RU"/>
        </w:rPr>
        <w:t>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изменении существенных условий контракта в соответствии с настоящим Положением включение информации и документов об изменении существенных условий контракта в реестр контрактов осуществляется в порядке, предусмотренном статьей 103 Федерального закона № 44-ФЗ.</w:t>
      </w:r>
    </w:p>
    <w:p w:rsidR="004E6444" w:rsidRDefault="004E644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sectPr w:rsidR="004E6444" w:rsidSect="004E64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02CB848" w16cex:dateUtc="2022-04-22T12:16:28Z"/>
  <w16cex:commentExtensible w16cex:durableId="51E29FEE" w16cex:dateUtc="2022-04-22T12:10:25Z"/>
  <w16cex:commentExtensible w16cex:durableId="4EFC835C" w16cex:dateUtc="2022-04-22T12:08:20Z"/>
  <w16cex:commentExtensible w16cex:durableId="7091A842" w16cex:dateUtc="2022-04-22T12:07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02CB848"/>
  <w16cid:commentId w16cid:paraId="00000002" w16cid:durableId="51E29FEE"/>
  <w16cid:commentId w16cid:paraId="00000003" w16cid:durableId="4EFC835C"/>
  <w16cid:commentId w16cid:paraId="00000004" w16cid:durableId="7091A8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9C" w:rsidRDefault="002E619C">
      <w:pPr>
        <w:spacing w:after="0" w:line="240" w:lineRule="auto"/>
      </w:pPr>
      <w:r>
        <w:separator/>
      </w:r>
    </w:p>
  </w:endnote>
  <w:endnote w:type="continuationSeparator" w:id="0">
    <w:p w:rsidR="002E619C" w:rsidRDefault="002E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9C" w:rsidRDefault="002E619C">
      <w:pPr>
        <w:spacing w:after="0" w:line="240" w:lineRule="auto"/>
      </w:pPr>
      <w:r>
        <w:separator/>
      </w:r>
    </w:p>
  </w:footnote>
  <w:footnote w:type="continuationSeparator" w:id="0">
    <w:p w:rsidR="002E619C" w:rsidRDefault="002E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B28"/>
    <w:multiLevelType w:val="multilevel"/>
    <w:tmpl w:val="D2FC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">
    <w:nsid w:val="61C80A19"/>
    <w:multiLevelType w:val="hybridMultilevel"/>
    <w:tmpl w:val="A4D06572"/>
    <w:lvl w:ilvl="0" w:tplc="51C0CB0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4558C40E">
      <w:start w:val="1"/>
      <w:numFmt w:val="lowerLetter"/>
      <w:lvlText w:val="%2."/>
      <w:lvlJc w:val="left"/>
      <w:pPr>
        <w:ind w:left="1788" w:hanging="360"/>
      </w:pPr>
    </w:lvl>
    <w:lvl w:ilvl="2" w:tplc="DDF22204">
      <w:start w:val="1"/>
      <w:numFmt w:val="lowerRoman"/>
      <w:lvlText w:val="%3."/>
      <w:lvlJc w:val="right"/>
      <w:pPr>
        <w:ind w:left="2508" w:hanging="180"/>
      </w:pPr>
    </w:lvl>
    <w:lvl w:ilvl="3" w:tplc="4380D2B2">
      <w:start w:val="1"/>
      <w:numFmt w:val="decimal"/>
      <w:lvlText w:val="%4."/>
      <w:lvlJc w:val="left"/>
      <w:pPr>
        <w:ind w:left="3228" w:hanging="360"/>
      </w:pPr>
    </w:lvl>
    <w:lvl w:ilvl="4" w:tplc="A4A843BE">
      <w:start w:val="1"/>
      <w:numFmt w:val="lowerLetter"/>
      <w:lvlText w:val="%5."/>
      <w:lvlJc w:val="left"/>
      <w:pPr>
        <w:ind w:left="3948" w:hanging="360"/>
      </w:pPr>
    </w:lvl>
    <w:lvl w:ilvl="5" w:tplc="5404838A">
      <w:start w:val="1"/>
      <w:numFmt w:val="lowerRoman"/>
      <w:lvlText w:val="%6."/>
      <w:lvlJc w:val="right"/>
      <w:pPr>
        <w:ind w:left="4668" w:hanging="180"/>
      </w:pPr>
    </w:lvl>
    <w:lvl w:ilvl="6" w:tplc="E390CD9E">
      <w:start w:val="1"/>
      <w:numFmt w:val="decimal"/>
      <w:lvlText w:val="%7."/>
      <w:lvlJc w:val="left"/>
      <w:pPr>
        <w:ind w:left="5388" w:hanging="360"/>
      </w:pPr>
    </w:lvl>
    <w:lvl w:ilvl="7" w:tplc="BDBA1232">
      <w:start w:val="1"/>
      <w:numFmt w:val="lowerLetter"/>
      <w:lvlText w:val="%8."/>
      <w:lvlJc w:val="left"/>
      <w:pPr>
        <w:ind w:left="6108" w:hanging="360"/>
      </w:pPr>
    </w:lvl>
    <w:lvl w:ilvl="8" w:tplc="4F501ED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ридический отдел АМО Суоярвский район">
    <w15:presenceInfo w15:providerId="Teamlab" w15:userId="9379303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444"/>
    <w:rsid w:val="00046F85"/>
    <w:rsid w:val="002E619C"/>
    <w:rsid w:val="004D04E5"/>
    <w:rsid w:val="004E6444"/>
    <w:rsid w:val="00633539"/>
    <w:rsid w:val="008302C4"/>
    <w:rsid w:val="008E4C70"/>
    <w:rsid w:val="00912434"/>
    <w:rsid w:val="009323DF"/>
    <w:rsid w:val="00B92420"/>
    <w:rsid w:val="00CE4BCD"/>
    <w:rsid w:val="00FB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E644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64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E644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64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E644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64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E644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64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E644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64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E644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64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E64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64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E644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64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E64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E64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E644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64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644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4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64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64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64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644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E6444"/>
  </w:style>
  <w:style w:type="paragraph" w:customStyle="1" w:styleId="Footer">
    <w:name w:val="Footer"/>
    <w:basedOn w:val="a"/>
    <w:link w:val="Caption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E644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64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6444"/>
  </w:style>
  <w:style w:type="table" w:styleId="aa">
    <w:name w:val="Table Grid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644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6444"/>
    <w:rPr>
      <w:sz w:val="18"/>
    </w:rPr>
  </w:style>
  <w:style w:type="character" w:styleId="ad">
    <w:name w:val="footnote reference"/>
    <w:basedOn w:val="a0"/>
    <w:uiPriority w:val="99"/>
    <w:unhideWhenUsed/>
    <w:rsid w:val="004E644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644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6444"/>
    <w:rPr>
      <w:sz w:val="20"/>
    </w:rPr>
  </w:style>
  <w:style w:type="character" w:styleId="af0">
    <w:name w:val="endnote reference"/>
    <w:basedOn w:val="a0"/>
    <w:uiPriority w:val="99"/>
    <w:semiHidden/>
    <w:unhideWhenUsed/>
    <w:rsid w:val="004E644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6444"/>
    <w:pPr>
      <w:spacing w:after="57"/>
    </w:pPr>
  </w:style>
  <w:style w:type="paragraph" w:styleId="21">
    <w:name w:val="toc 2"/>
    <w:basedOn w:val="a"/>
    <w:next w:val="a"/>
    <w:uiPriority w:val="39"/>
    <w:unhideWhenUsed/>
    <w:rsid w:val="004E64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64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64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64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64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64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64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6444"/>
    <w:pPr>
      <w:spacing w:after="57"/>
      <w:ind w:left="2268"/>
    </w:pPr>
  </w:style>
  <w:style w:type="paragraph" w:styleId="af1">
    <w:name w:val="TOC Heading"/>
    <w:uiPriority w:val="39"/>
    <w:unhideWhenUsed/>
    <w:rsid w:val="004E6444"/>
  </w:style>
  <w:style w:type="paragraph" w:styleId="af2">
    <w:name w:val="table of figures"/>
    <w:basedOn w:val="a"/>
    <w:next w:val="a"/>
    <w:uiPriority w:val="99"/>
    <w:unhideWhenUsed/>
    <w:rsid w:val="004E6444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4E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3">
    <w:name w:val="Normal (Web)"/>
    <w:basedOn w:val="a"/>
    <w:uiPriority w:val="99"/>
    <w:unhideWhenUsed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E6444"/>
  </w:style>
  <w:style w:type="character" w:customStyle="1" w:styleId="10">
    <w:name w:val="Заголовок 1 Знак"/>
    <w:basedOn w:val="a0"/>
    <w:link w:val="Heading1"/>
    <w:uiPriority w:val="9"/>
    <w:rsid w:val="004E64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64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E64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4E64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E6444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E644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7">
    <w:name w:val="annotation text"/>
    <w:basedOn w:val="a"/>
    <w:link w:val="af8"/>
    <w:uiPriority w:val="99"/>
    <w:semiHidden/>
    <w:unhideWhenUsed/>
    <w:rsid w:val="004E644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6444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4E644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2022-04-22T13:53:00Z</dcterms:created>
  <dcterms:modified xsi:type="dcterms:W3CDTF">2022-04-25T08:43:00Z</dcterms:modified>
</cp:coreProperties>
</file>