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292709" w:rsidRPr="009E20D1" w:rsidTr="00583F63">
        <w:trPr>
          <w:trHeight w:val="777"/>
        </w:trPr>
        <w:tc>
          <w:tcPr>
            <w:tcW w:w="9605" w:type="dxa"/>
          </w:tcPr>
          <w:tbl>
            <w:tblPr>
              <w:tblpPr w:leftFromText="180" w:rightFromText="180" w:vertAnchor="text" w:tblpY="1"/>
              <w:tblOverlap w:val="never"/>
              <w:tblW w:w="15343" w:type="dxa"/>
              <w:tblLook w:val="0000" w:firstRow="0" w:lastRow="0" w:firstColumn="0" w:lastColumn="0" w:noHBand="0" w:noVBand="0"/>
            </w:tblPr>
            <w:tblGrid>
              <w:gridCol w:w="9639"/>
              <w:gridCol w:w="1984"/>
              <w:gridCol w:w="3720"/>
            </w:tblGrid>
            <w:tr w:rsidR="00552AF7" w:rsidRPr="003F5443" w:rsidTr="006902B0">
              <w:tc>
                <w:tcPr>
                  <w:tcW w:w="9639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544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8635" cy="795020"/>
                        <wp:effectExtent l="19050" t="0" r="5715" b="0"/>
                        <wp:docPr id="3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AF7" w:rsidRPr="000239D0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9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 ФЕДЕРАЦИЯ</w:t>
            </w:r>
          </w:p>
          <w:p w:rsidR="00552AF7" w:rsidRPr="000239D0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239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РЕСПУБЛИКА  КАРЕЛИЯ </w:t>
            </w:r>
          </w:p>
          <w:p w:rsidR="00552AF7" w:rsidRPr="000239D0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5116F8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СУОЯРВСКОГО МУНИЦИПАЛЬНОГО ОКРУГА</w:t>
            </w:r>
          </w:p>
          <w:p w:rsidR="00552AF7" w:rsidRPr="000239D0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3F5443" w:rsidRDefault="00552AF7" w:rsidP="00552AF7">
            <w:pPr>
              <w:tabs>
                <w:tab w:val="left" w:pos="1830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7A2D27" w:rsidRP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0239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gramEnd"/>
            <w:r w:rsidR="000239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="000239D0" w:rsidRPr="001E12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41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сессия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7A2D27" w:rsidRP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I  созыв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52AF7" w:rsidRPr="005116F8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16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5116F8" w:rsidRDefault="00552AF7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7A2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</w:t>
            </w:r>
            <w:r w:rsid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5116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2023                                                                                          № </w:t>
            </w:r>
            <w:r w:rsidR="005116F8" w:rsidRPr="005116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</w:t>
            </w:r>
          </w:p>
          <w:p w:rsidR="00552AF7" w:rsidRDefault="00552AF7" w:rsidP="00552AF7"/>
          <w:p w:rsidR="00873DB2" w:rsidRPr="00C93C51" w:rsidRDefault="00873DB2" w:rsidP="00C93C5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C51">
              <w:rPr>
                <w:rFonts w:ascii="Times New Roman" w:hAnsi="Times New Roman" w:cs="Times New Roman"/>
                <w:sz w:val="28"/>
                <w:szCs w:val="28"/>
              </w:rPr>
              <w:t xml:space="preserve">О показателях оценки эффективности деятельности  органов местного     самоуправления  Суоярвского муниципального </w:t>
            </w:r>
            <w:r w:rsidR="008337C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93C51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C93C51" w:rsidRPr="00C93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3C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A2D27" w:rsidRPr="00292709" w:rsidRDefault="007A2D27" w:rsidP="00873DB2">
            <w:pPr>
              <w:spacing w:before="12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16F8" w:rsidRDefault="00583F63" w:rsidP="003B2C01">
      <w:pPr>
        <w:pStyle w:val="ad"/>
        <w:tabs>
          <w:tab w:val="left" w:pos="903"/>
        </w:tabs>
        <w:ind w:firstLine="567"/>
        <w:jc w:val="both"/>
        <w:rPr>
          <w:bCs/>
          <w:sz w:val="28"/>
          <w:szCs w:val="28"/>
        </w:rPr>
      </w:pPr>
      <w:r w:rsidRPr="00C93C51">
        <w:rPr>
          <w:bCs/>
          <w:sz w:val="28"/>
          <w:szCs w:val="28"/>
        </w:rPr>
        <w:t xml:space="preserve">В соответствии </w:t>
      </w:r>
      <w:r w:rsidR="007A2D27" w:rsidRPr="00C93C51">
        <w:rPr>
          <w:bCs/>
          <w:sz w:val="28"/>
          <w:szCs w:val="28"/>
          <w:lang w:val="en-US"/>
        </w:rPr>
        <w:t>c</w:t>
      </w:r>
      <w:r w:rsidR="007A2D27" w:rsidRPr="00C93C51">
        <w:rPr>
          <w:bCs/>
          <w:sz w:val="28"/>
          <w:szCs w:val="28"/>
        </w:rPr>
        <w:t xml:space="preserve"> Ф</w:t>
      </w:r>
      <w:r w:rsidRPr="00C93C51">
        <w:rPr>
          <w:bCs/>
          <w:sz w:val="28"/>
          <w:szCs w:val="28"/>
        </w:rPr>
        <w:t>едеральным законом от 6 октября 2003 г. № 131-ФЗ «Об общих принципах организации местного самоупра</w:t>
      </w:r>
      <w:r w:rsidR="007A2D27" w:rsidRPr="00C93C51">
        <w:rPr>
          <w:bCs/>
          <w:sz w:val="28"/>
          <w:szCs w:val="28"/>
        </w:rPr>
        <w:t xml:space="preserve">вления в Российской Федерации», </w:t>
      </w:r>
      <w:r w:rsidR="00873DB2" w:rsidRPr="00C93C51">
        <w:rPr>
          <w:rFonts w:eastAsia="Calibri"/>
          <w:sz w:val="28"/>
          <w:szCs w:val="28"/>
        </w:rPr>
        <w:t xml:space="preserve">с Указом Президента РФ от 28.04.2008 г. № 607 «Об оценке  </w:t>
      </w:r>
      <w:proofErr w:type="gramStart"/>
      <w:r w:rsidR="00873DB2" w:rsidRPr="00C93C51">
        <w:rPr>
          <w:rFonts w:eastAsia="Calibri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873DB2" w:rsidRPr="00C93C51">
        <w:rPr>
          <w:rFonts w:eastAsia="Calibri"/>
          <w:sz w:val="28"/>
          <w:szCs w:val="28"/>
        </w:rPr>
        <w:t xml:space="preserve"> и муниципальных районов»</w:t>
      </w:r>
      <w:r w:rsidRPr="00C93C51">
        <w:rPr>
          <w:bCs/>
          <w:sz w:val="28"/>
          <w:szCs w:val="28"/>
        </w:rPr>
        <w:t>,</w:t>
      </w:r>
    </w:p>
    <w:p w:rsidR="00583F63" w:rsidRPr="005116F8" w:rsidRDefault="00583F63" w:rsidP="003B2C01">
      <w:pPr>
        <w:pStyle w:val="ad"/>
        <w:tabs>
          <w:tab w:val="left" w:pos="903"/>
        </w:tabs>
        <w:ind w:firstLine="567"/>
        <w:jc w:val="both"/>
        <w:rPr>
          <w:b/>
        </w:rPr>
      </w:pPr>
      <w:r w:rsidRPr="00C93C51">
        <w:rPr>
          <w:bCs/>
          <w:sz w:val="28"/>
          <w:szCs w:val="28"/>
        </w:rPr>
        <w:t xml:space="preserve">  Совет Суоярвского муниципального округа </w:t>
      </w:r>
      <w:r w:rsidRPr="005116F8">
        <w:rPr>
          <w:b/>
          <w:bCs/>
          <w:sz w:val="28"/>
          <w:szCs w:val="28"/>
        </w:rPr>
        <w:t>РЕШИЛ:</w:t>
      </w:r>
    </w:p>
    <w:p w:rsidR="00873DB2" w:rsidRPr="00C93C51" w:rsidRDefault="00873DB2" w:rsidP="00C93C5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hAnsi="Times New Roman" w:cs="Times New Roman"/>
          <w:sz w:val="28"/>
          <w:szCs w:val="28"/>
        </w:rPr>
        <w:t xml:space="preserve">1. Информацию о достигнутых показателях </w:t>
      </w:r>
      <w:proofErr w:type="gramStart"/>
      <w:r w:rsidRPr="00C93C51"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C93C51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</w:t>
      </w:r>
      <w:r w:rsidR="00C93C51">
        <w:rPr>
          <w:rFonts w:ascii="Times New Roman" w:hAnsi="Times New Roman" w:cs="Times New Roman"/>
          <w:sz w:val="28"/>
          <w:szCs w:val="28"/>
        </w:rPr>
        <w:t>округа</w:t>
      </w:r>
      <w:r w:rsidRPr="00C93C51">
        <w:rPr>
          <w:rFonts w:ascii="Times New Roman" w:hAnsi="Times New Roman" w:cs="Times New Roman"/>
          <w:sz w:val="28"/>
          <w:szCs w:val="28"/>
        </w:rPr>
        <w:t xml:space="preserve"> за 2022 год принять к сведению.</w:t>
      </w:r>
    </w:p>
    <w:p w:rsidR="00873DB2" w:rsidRPr="00C93C51" w:rsidRDefault="00873DB2" w:rsidP="00C93C5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Суоярвского муниципального округа продолжить работу по улучшению </w:t>
      </w:r>
      <w:proofErr w:type="gramStart"/>
      <w:r w:rsidRPr="00C93C51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органов местного самоуправления</w:t>
      </w:r>
      <w:proofErr w:type="gramEnd"/>
      <w:r w:rsidRPr="00C93C51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:rsidR="007A2D27" w:rsidRPr="007A2D27" w:rsidRDefault="007A2D27" w:rsidP="007A2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2D2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D27" w:rsidRPr="000E2D7D" w:rsidRDefault="007A2D27" w:rsidP="007A2D27">
      <w:pPr>
        <w:pStyle w:val="ad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6223A9" w:rsidRDefault="006223A9" w:rsidP="006223A9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Суоярвского муниципального округа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Н.В. Васенина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2D27" w:rsidRDefault="007A2D27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16F8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Глава Суоярвского муници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>пального округа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Р.В. Петров</w:t>
      </w:r>
    </w:p>
    <w:p w:rsidR="005116F8" w:rsidRPr="005116F8" w:rsidRDefault="005116F8" w:rsidP="005116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16F8" w:rsidRPr="005116F8" w:rsidRDefault="005116F8" w:rsidP="005116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16F8" w:rsidRDefault="005116F8" w:rsidP="005116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23A9" w:rsidRDefault="006223A9" w:rsidP="005116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3782" w:rsidRDefault="000A3782" w:rsidP="0051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</w:t>
      </w:r>
    </w:p>
    <w:p w:rsidR="005116F8" w:rsidRPr="005116F8" w:rsidRDefault="005116F8" w:rsidP="0051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Главы  Суоярвского муниципального округа о достигнутых значениях показателей для оценки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районов</w:t>
      </w:r>
    </w:p>
    <w:p w:rsidR="005116F8" w:rsidRPr="005116F8" w:rsidRDefault="005116F8" w:rsidP="00511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за 2022 год.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5116F8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5116F8">
        <w:rPr>
          <w:rFonts w:ascii="Times New Roman" w:eastAsia="Times New Roman" w:hAnsi="Times New Roman" w:cs="Times New Roman"/>
          <w:sz w:val="28"/>
          <w:szCs w:val="28"/>
        </w:rPr>
        <w:t>. №607 «Об оценке эффективности деятельности органов местного самоуправления городских округов и муниципальных районов» подготовлен доклад главы  Суоярвского муниципального округа Р.В. Петрова о достигнутых значениях показателей для оценки эффективности деятельности органов местного самоуправления за 2022 год и планируемых значениях на 3-летний период.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Положительная динамика по сравнению с 2021 годом достигнута по 16-ти из 41 показателей доклада, отрицательная динамика – по 13 показателям, 12  показателей доклада сохранились на уровне предыдущего года.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Раздел  «Экономическое развитие»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>(показатели 1-8)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(показатели 1, 2).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1: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Показатель характеризует степень деловой активности населения муниципального образования, которая зависит от сформированной местными органами власти системы поддержки малого и среднего предпринимательства.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Количество субъектов малого и среднего предпринимательства относительно предыдущего года увеличилось на 1,2%, сократилось количество юридических лиц, но количество индивидуальных предпринимателей увеличилось на 13 единиц. Также все чаще физические лица выбирают такой вид налогообложения как «Налог на профессиональный доход», в течение</w:t>
      </w:r>
      <w:r w:rsidR="000A3782">
        <w:rPr>
          <w:rFonts w:ascii="Times New Roman" w:eastAsia="Times New Roman" w:hAnsi="Times New Roman" w:cs="Times New Roman"/>
          <w:sz w:val="28"/>
          <w:szCs w:val="28"/>
        </w:rPr>
        <w:t xml:space="preserve"> 2022 года число </w:t>
      </w:r>
      <w:proofErr w:type="spellStart"/>
      <w:r w:rsidR="000A378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>амозанятых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граждан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увеличилось на 60,2 % относительно предыдущего года и составило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539 человек.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целях постоянного увеличения числа субъектов малого и среднего предпринимательства в муниципальном округе органам местного самоуправления необходимо: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оказывать содействие муниципальным организациям поддержки предпринимательства по оказанию безвозмездных информационных и консультационных услуг субъектам малого и среднего предпринимательства, а также обучению заинтересованных граждан основам предпринимательской деятельности;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оказывать имущественную поддержку субъектам малого и среднего предпринимательства, в том числе привлекать средства федерального бюджета;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предусматривать в рамках муниципальных программ финансирование мероприятий по представлению субсидий субъектам малого предпринимательства;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продолжить работу по утверждению перечня муниципального имущества, предназначенного для предоставления во владение и (или) в пользование субъектам малого и среднего предпринимательства, и опубликовать его на официальных сайтах администрации муниципального образования;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расширить перечень земельных участков, находящихся в муниципальной собственности для включения в Схему размещения нестационарных торговых объектов для организации ярмарок, в том числе областных,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межрегиональных, сезонных, тематических, выходного дня с п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>ривлечением на ярмарки фермеров и производителей пищевой продукции малых форм хозяйствования Республики Карелия.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iCs/>
          <w:sz w:val="28"/>
          <w:szCs w:val="28"/>
        </w:rPr>
        <w:t>Данный показатель характеризует степень влияния малого и среднего предпринимательства на занятость населения.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малом и среднем бизнесе занято 1806 человек, что составляет 40,7% в среднесписочной численности работников всех предприятий и организаций района.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субъектами МСП было создано 45 новых рабочих мест, из них индивидуальными предпринимателями – 11.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снижения показателей развития малого и среднего предпринимательства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являются кризисные явления в экономике и негативная демографическая ситуация: ежегодно численность населения района сокращается  на 250-350 человек, за прошедший год численность населения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сократилась на 13,5% и составила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12 418 человек. Оптимизация штатных расписаний происходит как в государственных, муниципальных учреждениях, так и в коммерческих организациях.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Сдерживающими факторами для развития малого и среднего предпринимательства также являются: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ограниченность рынка товаров и услуг на территории города и округа в целом,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невысокий уровень доходов населения,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сырья для развития традиционных производств (в сфере лесопиления и лесопереработки),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сырьевых и трудовых ресурсов, рынков сбыта для организации нетрадиционных производств.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В рамках реализации муниципальной Программы развития и поддержки малого и среднего предпринимательства администрация округа оказывает имущественную, информационную и финансовую поддержку субъектам малого предпринимательства, а также обеспечивает участие местных предпринимателей в мероприятиях государственных программ "Расширение доступа субъектов МСП к финансовым ресурсам, в том числе по льготному финансированию», «Улучшение условий ведения предпринимательской деятельности» в рамках национального проекта «Малое и среднее предпринимательство и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поддержка индивидуальной предпринимательской инициативы». 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администрация Суоярвского муниципального округа получила субсидию из регионального бюджета на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развития малого и среднего предпринимательства в сумме 4 944 467,91 руб. Финансирование из местного бюджета составило 49 944,12 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рамках реализации мероприятий данной программы в 2022 году 38 субъектам МСП была предоставлена финансовая поддержка по следующим направлениям затрат: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 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 на оплату фактически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понесенных расходов 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кредитов – шести субъектам МСП на общую сумму – 618 102,00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объектов основных средств в целях создания, и (или) развития, и (или) модернизации производства товаров (работ, услуг) – 12 субъектам МСП на общую сумму 1 540 036,52 руб.;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  <w:t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 – 8 субъектам МСП  на общую сумму – 2 292 327,65 руб.;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  <w:t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приобретение оборудования и программного обеспечения для маркировки товаров средствами идентификации и вывода из оборота маркированных товаров – 2 субъектам МСП на общую сумму – 15 510,23 руб.;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  <w:t xml:space="preserve">- 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на электрическую энергию, тепловую энергию, водоснабжение, водоотведение – 8 субъектам МСП на общую сумму – 265 474,23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  <w:t>- возмещение части затрат субъектов малого и среднего предпринимательства на приобретение древесного топлива – 1 субъекту МСП на сумму – 226 156,12 руб.;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  <w:t xml:space="preserve">- субсидирование части затрат субъектов малого и среднего предпринимательства на оплату арендных платежей за помещения, не относящиеся к жилому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персоналом и потребителями (посетителями) – 1 субъекту МСП на сумму – 36 705,28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Денежные средства освоены в полном объеме, целевые показатели исполнены на 100%.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Администрация регулярно рассылает по электронной почте, публикует на своем сайте и в газете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вестник» информацию о различных мероприятиях для предпринимателей, которые проводятся в округе и в Республике Карелия в рамках региональной и муниципальной программ поддержки малого бизнеса (обучение, форумы, выставки, конкурсы на получение финансовой поддержки).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проведено 3 заседания Совета по развитию малого и среднего предпринимательства: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- в марте  в г. Суоярви;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в июле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в ноябре в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Разработан график заседаний Совета по развитию малого и среднего предпринимательства, запланированных к проведению на территории Суоярвского муниципального округа в 2023 году.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Данное мероприятие прошло совместно с представителями Министерства экономического развития и промышленности Республики Карелия, АО «Корпорация развития Республики Карелия», Управлением по туризму РК, специалистами Агентства занятости Суоярвского муниципального округа.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ходе встречи немало внимания было уделено вопросу о мерах поддержки, оказываемой субъектам малого и среднего бизнеса. Потенциальных предпринимателей Суоярвского округа больше всего интересовали такие направления бизнеса, как туризм и развитие сельского хозяйства.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Способствовать увеличению среднесписочной численности занятых у субъектов малого и среднего предпринимательства будет принятие администрацией муниципального образования, а также организациями муниципальной поддержки предпринимателей таких мер как: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популяризация среди населения предпринимательской деятельности и вовлечение в предпринимательскую деятельность различных групп граждан;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вовлечение в предпринимательскую деятельность представителей социально-незащищенных слоев населения и молодежи, популяризация семейного, женского и молодежного предпринимательства;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развитие системы адаптации высвобождаемых с крупных предприятий работников и их переобучение основам предпринимательской деятельности.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Инвестиционная деятельность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(показатель 3)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Показатель «Объем инвестиций в основной капитал (за исключением бюджетных средств) в расчете на одного жителя» имеет важное значение для экономики Суоярвского округа, так как характеризует объем внебюджетных (частных) инвестиций и на основании этого показателя можно судить об активности муниципального округа в привлечении инвестиций и предпринимаемых мерах, направленных на улучшение инвестиционного климата.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Также показатель объема внебюджетных инвестиций в расчете на одного жителя характеризует перспективы роста экономики муниципального округа и благосостояния жителей.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На развитие экономики и социальной сферы за 2022 год использовано 406,5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инвестиций в основной капитал (без учета бюджетных средств), что составляет  27 267 рублей в расчете на 1 жителя.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Данный показатель увеличился относительно предыдущего года на 22,3%. Доля Суоярвского муниципального округа составила 1,0 % в общем объеме инвестиций в основной капитал по республики.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Потенциальным инвесторам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сегодня готов предложить 12 инвестиционных площадок, из них 3 промышленные  площадки и порядка 300 земельных участков для ведения сельскохозяйственной деятельности и личного подсобного хозяйства. В течени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2022 года были актуализированы  паспорта этих промышленных площадок, а также была проведена инвентаризация земель сельскохозяйственного назначения. Вся информация размещена на различных информационных ресурсах: официальном сайте администрации,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портале «Инвестируй в Карелию», сайте Корпорации развития Республики Карелия.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рамках создания благоприятного инвестиционного климата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ведется работа по следующим ключевым направлениям: развитие законодательной базы Суоярвского муниципального округа в сфере инвестиционной деятельности; создание и развитие инфраструктуры для привлечения инвестиций; развитие государственно-частного партнерства; снижение административных барьеров; повышение информационной открытости Суоярвского округа в сфере инвестиционной деятельности.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земельных участков, являющихся объектами налогообложения земельным налогом, в общей площади территории муниципального округа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(показатель 4).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Указанный показатель характеризует потенциал поступления земельного налога. Данный показатель не может быть равен 100%, так как в состав территорий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входят лесные земли, водные объекты, земельные участки, предоставленные на праве аренды и другие, не подлежащие налогообложению.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администрации Суоярвского муниципального округа остались полномочия по распоряжению земельными участками, находящимися  в муниципальной собственности. С учетом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сведений, предоставленных Министерством имущественных и земельных отношений всего за год было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заключено 24 договора купли-продажи земельных участков.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Несмотря на это, в рамках исполнения полномочий по распоряжению земельными участками администрацией округа выполняется большой объем работы по рассмотрению заявлений, консультированию по вопросам землепользования, подготовке и утверждению актов выбора, схем расположения земельных участков, однако процесс постановки земельных участков на налоговый учет растянут по времени,  в связи с этим увеличение доли  земельных участков, являющихся объектами налогообложения (показатель 4), происходит медленными темпами. 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отметить, что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98% земель относятся к лесному фонду, что сдерживает процессы формирования земельных участков для капитального строительства и  предоставления их потенциальным застройщикам.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прибыльных сельскохозяйственных организаций, в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общем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их числе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(показатель 5).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Сельскохозяйственных организаций в округе не имеется. Сельское хозяйство в округе представлено только малыми формами - крестьянскими (фермерскими)  и личными подсобными хозяйствами.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2021 году проведена Всероссийская сельскохозяйственная перепись, в ходе которой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были обследованы 3 крестьянских (фермерских) хозяйств, 6 индивидуальных  предпринимателей, 45 садоводческих, огороднических и дачных объединений граждан, 3269 личных подсобных хозяйства.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Сельскохозяйственные производители, в основном ориентированы на производство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мясо-молочной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продукции, картофеля и овощей.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Произведенную продукцию хозяйства реализуют населению округа и учреждениям социальной сферы.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активно развивается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форелеводство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, свою деятельность осуществляют три рыбоводческих хозяйства (ООО «Суоярви», ООО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Укса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» и ООО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Главрыбсоюз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»), годовые объемы производства рыбоводческих организаций составляют порядка 600 тонн форели в год.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(показатель 6)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Данный показатель характеризует транспортно-эксплуатационное состояние сети дорог общего пользования местного значения. Снижение показателя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отражает улучшение транспортно-эксплуатационного состояния и свидетельствует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об эффективности деятельности органов местного самоуправления.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отсутствуют межселенные дороги, поэтому все дороги местного значения находятся в собственности округа. На муниципальных дорогах  ежегодно выполняются работы по устранению дефектов дорожного покрытия, отсыпке и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грейдированию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дорог, вырубке кустарника, расчистке от снега в зимний период и др., исходя из возможностей местного бюджета.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сохраняется проблема недостаточности в собственных и привлеченных финансовых ресурсах для поддержания на должном уровне состояния автомобильных дорог местного значения. Тем не менее, администрацией проводится работа, направленная на развитие, ремонт и содержание местной дорожной сети.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ремонт автомобильных дорог местного значения на территории города Суоярви в 2022 году производилось в рамках выполнения муниципального контракта, заключенного с ООО «Транспортная компания». На содержание дорог местного значения в городе Суоярви в 2022 году израсходовано из местного бюджета 8,760 млн.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рамках контракта проводилась очистка,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посыпка дорог и тротуаров, произведена вырубка кустарника  вдоль дорог по пер. Кировский пер.  Заозерный, ул. Ивана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Булатевича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, ул.  Сосновая – 2.1. га.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установка новых дорожных знаков в количестве 120 шт., нанесена дорожная разметка.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 2022 году на территории села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поселение израсходовало на дорожную деятельность 975 252,85 руб., в том числе: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ремонт дорог – 332144,00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администрацией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Вешкельского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счет средств Дорожного фонда в с.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произведен ремонт автомобильной дороги общего пользования местного значения по ул.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Октябрьская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- 95772,00 руб., ремонт автомобильной дороги общего пользования местного значения по ул. Лесная  - 236 372,00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- потребление уличного освещения – 162 651,29 руб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оплата электроэнергии ТНС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Энерго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содержание дорог,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 снегоочистка – 323 170,83 руб.;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материалов – 157 286,73  руб.;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Произведен ремонт участка автомобильной дороги   по ул.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Гористая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в с.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сумму 200 000,00 руб. (по программе Активный гражданин).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поставлены на кадастровый учет  автомобильные дороги местного значения  в д.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Хаутаваара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- протяженностью 2341 м., с.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Инжунаволок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протяженностью 11700 м., в д.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Хюрсюля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протяженностью 1217 м., и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Игнойла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- д.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Хюрсюля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протяженностью 11267 м.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п. Поросозеро израсходовал на дорожную деятельность 1  814 769,46 руб., в том числе: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-  потребление уличного освещения – 716 386,22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- техническое обслуживание уличного освещения – 228 935,44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- снегоочистка – 869 447,80 руб.,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Поросозерского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счет средств Дорожного фонда произведен ремонт автомобильной дороги местного значения по ул. Железнодорожной – 22 608 руб., выполнена отсыпка дороги 100 тонн фракции 0-30, в результат спонсорской помощи от ООО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Финансбюро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». В рамках программы «Активный гражданин» выполнен свод аварийных деревьев вдоль дорог на сумму 200000,00 руб.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администрацией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содержание дорог местного значения израсходовано 1 909 089,89 руб., из них: 1 438 569,00 руб. - расходы на содержание дорог местного значения, 470 520,89 руб. - освещение дорог местного значения.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поселения,  в рамках договора с ООО «Фаза» установлено уличное освещение на ул. Северная в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Лахколампи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7-ми опор. В 2022 г. выполнен текущий ремонт уличного освещения на территории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           В  2022  году   администрацией  Лоймольского сельского поселения на содержание дорог израсходовано 3 083 184,61 руб., из них: 2 665 716,77 руб. -  на снегоочистку,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 84 450,00 руб. на профилировку улиц поселков поселения, 417 467,84  руб. - на техническое обслуживание уличного освещения. Поменяны лампы в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Вегарус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Пийтсиеки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также повешены дополнительные светильники в количестве 6 шт. За счет средств бюджета Республики Карелия разработана ПСД ремонта моста в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Райконкоски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сумму 599 990,00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Основными транспортными путями на территории Суоярвского округа являются региональные автомобильные дороги, которые находятся на балансе ГУ РК «Управление автомобильных дорог Республики Карелия».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Со стороны администрации Суоярвского муниципального округа необходимо уделять повышенное внимание выполнению работ по текущему содержанию и обеспечению сохранности дорог, обеспечивать максимальное наполнение муниципального дорожного фонда за счёт всех источников его финансирования.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 (муниципального района)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(показатель 7)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Данный показатель позволяет оценить уровень транспортной доступности населенных пунктов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2022 году 15 из 24 сельских населенных пунктов были связаны с окружным центром железнодорожным или регулярным автобусным сообщением. Перевозки пассажиров между намеленными пунктами осуществлялись по 3 пригородным маршрутам (Суоярви –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Суоярви, Суоярви –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Вегарус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Суоярви, Суоярви –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Суоёки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Суоярви). Кроме того по  территории округа проходят два межмуниципальных маршрута (Петрозаводск-Суоярви, Петрозаводск-Суоярви-Поросозеро), которые организует Министерство по дорожному хозяйству, транспорту и связи Республики Карелия. В целом такая маршрутная сеть обеспечивает потребности населения.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 территории Суоярвского муниципального  округа проходит маршрут железнодорожного сообщения № 160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В) Петрозаводск – Москва (Москва – Петрозаводск), который связывает с г. Суоярви следующие населенные пункты: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Райконкоски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Лоймола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Пийтсиеки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К причинам необеспеченности населенных пунктов регулярным пассажирским сообщением с административным центром муниципального округа относятся: ненормативное состояние дорог, нерентабельность пассажирских перевозок в малочисленные населенные пункты, отсутствие средств в местных бюджетах на решение перечисленных проблем.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этой связи необходима реализация мероприятий, направленных на поддержание в нормативном состоянии и расширение существующей сети автомобильных дорог.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(показатель 8)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8.1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Показатель среднемесячной номинальной начисленной заработной платы работников крупных и средних предприятий и некоммерческих организаций муниципального округа является важным макроэкономическим показателем, позволяющим проводить оценку уровня жизни населения.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крупных и средних предприятий в 2022 году составила 54 298 руб. и увеличилась по сравнению с предыдущим годом на 12,4%.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На заседаниях комиссии по укреплению налоговой и бюджетной дисциплины рассматривались вопросы уровня заработной платы работников организаций, осуществляющих деятельность на территории Суоярвского муниципального округа, легализации теневой занятости и «серой» заработной платы. В 2022 году было проведено 12 заседаний комиссии по укрепления налоговой и бюджетной дисциплины, на которых рассмотрены 102 хозяйствующих субъекта. В результате проведенных комиссий более 50% субъектов полностью погасили задолженность.  До двенадцати юридических лиц доведена информация о необходимости довести заработную плату до прожиточного минимума. Данные юридические лица так и не отчитались о повышение уровня заработной платы, установленного трехсторонним соглашение между Правительством РК, ОО «Объединение организаций профсоюзов в РК» и Союзом промышленников и предпринимателей Республики Карелия и минимальной заработной плате в Республике Карелия. 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«дорожной картой» по реализации майских указов Президента Российской Федерации осуществляются мероприятия, направленные на увеличение уровня  среднемесячной заработной платы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работников муниципальных учреждений, оптимизацию и  эффективное использование фондов оплаты труда с учетом увеличения производительности труда.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8.2: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 2022 году среднемесячная заработная плата работников дошкольных учреждений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составила 35 290 рублей и увеличилась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9,8 % по сравнению с 2022 годом.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8.3, 8.4: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образовательных учреждений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составила 39 593 рубля  и увеличилась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6,5 % по сравнению с предыдущим годом. При этом заработная плата педагогических работников общего образования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увеличилась на 6,8 % и достигла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46 700 рублей.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Со стороны органов местного самоуправления муниципальных образований необходимо обеспечивать оптимизацию расходов муниципальных бюджетов; привлекать дополнительные средства на повышение заработной платы за счет оптимизации сети и расходов, предусмотренных на обеспечение деятельности учреждений; контролировать эффективность использования бюджетных ассигнований.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8.5: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муниципальных учреждений культуры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составила 34 934 рублей и увеличилась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10,6 % по сравнению с предыдущим годом.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8.6: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среднемесячная заработная плата работников муниципальных учреждений физической культуры и спорта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уменьшилась на 21,2 % и составила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38 575 рублей в месяц.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«Дошкольное образование»  (показатели 9-11)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действуют 2 дошкольных образовательных учреждения и 16 дошкольных групп в 6-ти общеобразовательных учреждениях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>. Всего услуги дошкольного образования в 2022 году получали 518 детей в возрасте от 0 до 7 лет (в 2021 году-569 детей, 2020 году-642 ребенка, в 2019 - 693 ребенка, 2018 году -740 детей).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Охват детей в возрасте от 1 до 6 лет услугами дошкольного образования составил 64,5 % от общего числа детей данного возраста. Значение показателя незначительно увеличилось  по сравнению с предыдущим годом в связи с сокращением численности детей дошкольного возраста, при этом все желающие обеспечены местами в детских садах.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10: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сфере дошкольного образования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округе достигнут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целевой показатель, установленный майским Указом Президента РФ № 599: 100% детей в возрасте от 3 до 7 лет обеспечены местами в детских садах. В единой очереди на получение места в дошкольном учреждении состоят только дети в возрасте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до трех лет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63 ребенка, что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составляет 8,5 % от общей численности детей в возрасте 1-6 лет.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Учет детей осуществляется с использованием единой информационной системы «Электронный детский сад».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Ежегодно детям предоставляется около 100 мест в детских садах.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11: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2 муниципальных дошкольных образовательных организации (4 здания),  из них требуют капитального ремонта 3 здания. 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Здание МДОУ №7 «Родничок» по адресу: г. Суоярви, Лесная, 6 требуются следующие виды работ: капитальный ремонт полов,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здания с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укладкой дренажных труб, инженерных сетей электроснабжения, замена наружных и внутренних дверей, благоустройство территории. Монтаж АПС.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Здание МДОУ №7 «Родничок» по адресу: г. Суоярви, ул.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, 3а  требуются следующие виды работ: капитальный ремонт систем: инженерных сетей электроснабжения, водоснабжения и водоотведения. Устройство системы вентиляции на пищеблоке. Монтаж АПС.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Здание МДОУ Детский сад №26 п. Поросозеро требуются следующие виды работ: капитальный ремонт инженерных систем: отопления, водоснабжения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одоотведения, электроснабжения, замена оконных блоков и дверей, ремонт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здания, благоустройство территории. Устройство системы вентиляции на пищеблоке. Монтаж АПС.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дошкольных  образовательных организациях постоянно проводится работа по созданию комфортных,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условий для детей, выполняются предписания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обновляется мебель, приобретается оборудование для пищеблоков и медицинских кабинетов.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«Общее и дополнительное образование» (показатели 13-19)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в районе действовало 7 общеобразовательных школ, в которых обучалось 1528 ребенка. На протяжении ряда последних лет отмечается  снижение контингента обучающихся в муниципальных общеобразовательных  организациях, что связано с негативными демографическими процессами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районе и миграцией населения.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13: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3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выпускника не получили аттестат о среднем (полном) образовании, в связи с чем, данный показатель составил 3%.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14: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Показатель характеризует деятельность органов местного самоуправления в области общего образования, направленную на конечные результаты, связанные с параметрами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достижения значений показателей результативности предоставления федеральных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региональных субсидий, вложений муниципального района на модернизацию районной системы общего образования с целью создания современных условий обучения в каждой образовательной организации вне зависимости от места расположения.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муниципальном округе 7 общеобразовательных организаций, 86,6%  от общего числа образовательных организаций, соответствуют современным требованиям обучения. Данный показатель остался на уровне  предыдущего года.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Удельный вес учеников общего образования, обучающихся в соответствии с новым федеральным государственным образовательным стандартом общего образования, в 2021-2022 учебном году составил 100%.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образовательных программ в образовательных организациях округа используются различные образовательные технологии, в том числе дистанционные, а также обучение детей с ОВЗ инклюзивно по адаптированным программам. 100 % муниципальных образовательных организаций  Суоярвского округа подключены к сети Интернет,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>оснащены средствами контент-фильтрации доступа к сети Интернет,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имеют собственные сайты, используют интерактивное оборудование.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всех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образовательных учреждениях имеются собственные спортивные залы, соответствующие современным требованиям.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15: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Администрацией ежегодно проводится работа  в рамках полномочий по  содержанию зданий общеобразовательных организаций и обустройству прилегающих к ним территорий.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Всего 15 зданий общеобразовательных организаций, из них требуется проведение капитальных ремонтов в 12 зданиях, В 4 зданиях: МОУ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СОШ», МОУ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Поросозерская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СОШ», МОУ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СОШ, МОУ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Вешкельская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в 2022 – 2023 годах проводятся капитальные ремонты в рамках реализации мероприятий по модернизации школьных систем образования в части проведения работ по капитальному ремонту зданий  общеобразовательных организаций Суоярвского муниципального округ в рамках государственной программы Российской Федерации «Развитие образования».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Не требуется проведение работ по капитальному ремонту следующих зданий: МОУ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Поросозерская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СОШ» (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оросозеро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ул. Больничная, д.17,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п.Гумарино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, ул. Центральная, 13), МОУ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Кайпинская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ООШ» (г. Суоярви, ул.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шоссе, 164А).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16: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доля детей первой и второй групп здоровья в общей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 в сравнении с 2021 годом  уменьшилась на  0,7%  и  составила 91,2 %.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Со стороны образовательных организаций, педагогических коллективов необходимо усилить профилактическую  работу, направленную на пропаганду здорового образа жизни, на своевременное проведение прививок и медицинских осмотров, совершенствовать системы физического развития и отдыха школьников, организовывать спортивные мероприятия, спартакиады, конкурсы различного уровня, создавать в общеобразовательных организациях оптимальную систему организации питания.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17: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Обучение в условиях двух смен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>сохраняется для обучающихся 3 классов МОУ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школа». Из-за недостатка помещений в этом образовательном учреждении не удается заметно снизить долю детей, обучающихся во вторую смену.  В 2022 году этот показатель составил 5,37%.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18: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расчете на 1 обучающегося расходы бюджета составили  174,29 тысяч  рублей в год. Увеличился по сравнению с 2021 годом на 16 %.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объеме расходов на общее образование учитываются средства республиканского бюджета, поступившие средства субсидий за счет средств федерального бюджета, средства местных бюджетов и прочих источников.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обеспечения доступности качественного образования и эффективного использования бюджетных средств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Суоярвского муниципального округа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>продолжить работу по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19: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Охват детей в возрасте от 5 до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от 5 до 18 лет) в  2022- 75% (2021 году по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округу составлял  73%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показатель повысился  в сравнении с 2021 годом на  2%. Увеличение показателя связано с изменением целевого показателя по национальному проекту «Образование».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«Культура» (показатели 20-22)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20.1: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значение данного показателя по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району в 2022 году составляет 100 %. 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действуют 5 культурно-досуговых центров, в состав которых входят 12 объектов клубного типа.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20.2: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 в достаточной степени обеспечен библиотеками - 100% от нормативной потребности. Все поселенческие библиотеки входят в состав МУК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централизованная библиотечная система» (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ЦБС), которая в настоящее время  включает 10 библиотек, кинотеатр «Космос», историко-краеведческий музей и архивный отдел.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Наряду с традиционными услугами по выдаче книг и информации, выполнению запросов посетителей, организации фондов и услуг библиотечного сервиса,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ЦБС предоставляет возможность доступа к Интернету и базам данных, а также организует культурно-досуговые мероприятия, деятельность клубов по интересам, проведение экскурсий и выставок, в стенах библиотеки проводятся публичные слушания, встречи в Общественной приемной Главы Республики Карелия. 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Библиотеки МУК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ЦБС» проводят  работу по всем основным направлениям. Особое внимание уделяют патриотическому и духовно – нравственному воспитанию, большая работа ведется по краеведению.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21: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не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изменилось и составляет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16,67 % (4 из 24).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сфере культуры в 2022 году в рамках иного межбюджетного трансферта в размере 7 633 334 руб. на мероприятия по ремонту муниципальных учреждений культуры были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разработаны проектно-сметные документации и пройдена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 экспертиза: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здания Муниципального бюджетного учреждения культуры «Культурно-досуговый центр Суоярвского городского поселения» по адресу: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уоярви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, ул. Гагарина, д.15;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здания Муниципального образовательного учреждения дополнительного образования «Школа искусств»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уоярви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Карелия,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уоярви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ул.Победы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, д.6;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сельского Дома культуры в поселке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Лахколампи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 составе МБУК «Культурно-досуговый центр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по адресу: п.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Лахколампи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Клубная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, д.1.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22: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муниципальных объектов культурного наследия, требующих консервации или реставрации, по сравнению с 2021 годом осталась без изменений и составила также 92,8%.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Ежемесячно на территории Суоярвского муниципального округа проводятся работы по благоустройству территорий воинских захоронений, мероприятия по сохранению памятников истории и культуры.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произведены ремонтные работы Братской могилы воинов, погибших в годы Великой Отечественной войны,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уоярви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пл.Ленина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 В рамках реализации федеральной целевой программы «Увековечение памяти погибших при защите Отечества на 2019-2024 гг.» муниципальному бюджету была предоставлена субсидия в размере 2 073 098 рублей. Работы проводились в два этапа: замена мемориальных плит и восстановительные работы по облицовке стелы. Средства субсидии освоены в полном объеме.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«Физическая культура и спорт» (показатель 23)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23: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 систематически занимаются физкультурой и спортом более 8500 человек, что составляет 59,1 % от общей численности населения. </w:t>
      </w:r>
      <w:r w:rsidRPr="005116F8">
        <w:rPr>
          <w:rFonts w:ascii="Times New Roman" w:eastAsia="Times New Roman" w:hAnsi="Times New Roman" w:cs="Times New Roman"/>
          <w:bCs/>
          <w:sz w:val="28"/>
          <w:szCs w:val="28"/>
        </w:rPr>
        <w:t>Для занятий физкультурой и спортом в районе действуют бассейн, хоккейный корт, площадка ГТО, спортивный комплекс в Поросозеро, спортивные залы в школах, открытые спортивные площадки. Относительно предыдущего периода данный показатель увеличился на 7%.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23.1: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Доля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систематически занимающихся физической культурой и спортом, в общей численности обучающихся, ежегодно растет и составляет в 2022 году 97,5 %,  что на 1,8% больше, чем в предыдущем периоде.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«Жилищное строительство и обеспечение граждан жильем»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(показатели 24-26)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24: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Уровень обеспеченности жильем 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округе. В 2022 году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105 человек были обеспечены жильем.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24.1: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Администрацией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проведена оценка выкупной стоимости 86 жилых помещений для расчета размера компенсации собственникам за изымаемые аварийные квартиры. Оценка проведена на общую сумму 215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 Выплачено 132 125 900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администрацией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проведена оценка выкупной стоимости 120 жилых помещений для расчета размера компенсации собственникам за изымаемые аварийные квартиры.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г. заключено 16 муниципальных контракта на приобретение 300 квартир у застройщика в г. Суоярви. В адрес застройщика АО «Специализированный застройщик «КСМ» внесен платеж в размере 645 705 292, 58 коп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рок передачи квартир по муниципальному контракту – 2023 г.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В 2022 г. заключено 2 муниципальных контракта на приобретение 24 квартир у застройщика в г. Кондопога. В адрес застройщика АО «Специализированный застройщик «Строительное предприятие №1» внесен платеж в размере 33 877 791, 44 коп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рок передачи квартир по муниципальному контракту – 2023 г.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25: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Одним из основных направлений в сфере деятельности администрации муниципального образования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является эффективное использование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имущественно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– земельного потенциала муниципального района, который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 С 2021 года функции по использованию муниципального имущества и земельных ресурсов возложены на МКУ «Центр по управлению муниципальным имуществом и земельными ресурсами».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2016 году полномочия по распоряжению земельными участками, государственная собственность на которые не разграничена, переданы органам государственной власти Республики Карелия. У органов местного самоуправления остались только полномочия по распоряжению земельными участками, находящимися  в муниципальной собственности. За 2021 год ГКУ «Управление земельными ресурсами» заключено 28 договоров аренды земельных участков общей площадью 196 376 м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. В том числе для индивидуального жилищного строительства 20 участков, общей площадью 32 478 м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26: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срок аренды земельных участков для индивидуального жилищного строительства составляет до 20 лет, строительство ведется в основном собственными силами застройщиков, сроки строительства сохраняются.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«Жилищно-коммунальное хозяйство» (показатели 27-30)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27: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Управление многоквартирным домом должно обеспечивать благоприятные и безопасные условия проживания  граждан, надлежащее содержание общего имущества в многоквартирном доме, решение вопроса использования указанного имущества, а также предоставление коммунальных услуг гражданам, проживающим в таком доме.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Самым распространенным способом управления является выбор управляющей компании. В районе действуют 2 ТСЖ и 2 управляющих компании.  Кроме того,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достаточно много двухквартирных домов, собственники которых чаще всего выбирают непосредственное управление домом.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Услуги по водо-, тепл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 газо-,  электроснабжению, водоотведению, очистке сточных вод, утилизации (захоронению) твердых бытовых отходов в 2022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Рост значения по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сфере управления коммунальным хозяйством, создания конкурентной среды, привлечения инвестиций.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поддержка инвестиционных проектов в коммунальном хозяйстве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необходима в случаях большого срока окупаемости проектов и должна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происходить в рамках государственно-частного партнерства с привлечением частных инвестиций.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28: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Услуги по водо-, тепл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 газо-,  электроснабжению, водоотведению, очистке сточных вод, утилизации (захоронению) твердых бытовых отходов в 2022 году оказывали только коммерческие организации (100% всех организаций коммунального комплекса), использующие объекты коммунальной инфраструктуры на праве аренды и частной собственности.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Рост значения по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показателю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возможно обеспечить за счет приведения коммунального комплекса в соответствие с современными рыночными условиями, создания условий для расширения участия частного бизнеса в сфере управления коммунальным хозяйством, создания конкурентной среды, привлечения инвестиций.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коммунальной сфере развитие конкуренции должно происходить путем привлечения эффективных частных операторов к управлению муниципальной и региональной коммунальной инфраструктурой. Для этого необходимо совершенствовать систему тарифного регулирования и внедрять долгосрочные методы регулирования, в частности, метод доходности инвестированного капитала.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Необходимым условием для равного конкурентного права на ведение коммунальной деятельности среди организаций всех форм собственности является обеспечение их отбора на конкурсной основе, обеспечение информационной прозрачности деятельности организаций коммунального комплекса.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Для этого необходимо осуществить разделение функций и формирование договорных отношений между всеми субъектами формирующегося жилищно-коммунального рынка – собственниками жилищного фонда и коммунальной инфраструктуры, управляющими компаниями и подрядными организациями.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Государственная поддержка инвестиционных проектов в коммунальном хозяйстве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необходима в случаях большого срока окупаемости проектов и должна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происходить в рамках государственно-частного партнерства с привлечением частных инвестиций.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29: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утверждено 10 документаций по планировке территории в виде проекта межевания территории для целей формирования земельных участков под многоквартирными домами, предоставлено 6 разрешений на условно разрешенный вид использования земельного участка. Сформирован 1 земельный участок под аварийным многоквартирным домом, включенным в Региональную адресную программу по переселению граждан из аварийного жилищного фонда на 2019-2023 гг.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30: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Данный показатель отражает соответствие деятельности органов местного самоуправления на территории муниципального района в решении вопросов местного значения в части обеспечения жилыми помещениями малоимущих граждан проживающих в поселении и нуждающихся в жилых помещениях.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За 2022 год приобретено на вторичном рынке 12 жилых помещений, из них 2 жилых помещений приобретено в г. Петрозаводске, 3 жилое помещение в г. Кондопога. Все жилые помещения предоставлены гражданам по договорам мены и договорам социального найма.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было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подготовлено и выдано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12 градостроительных планов на земельные участки (9 из них по городу).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Выданы документы о завершении перепланировки и (или) переустройства в отношении 9-ти жилых помещений.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по заявлениям, поступившим в администрацию от заявителе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физических лиц были присвоены адреса 21 земельным участкам и 21 жилому дому. По обращению организаций, присвоен адрес земельному участку и 5 нежилым зданиям.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на осуществление государственных полномочий по обеспечению жилыми помещениями детей-сирот было выделено 5 200 000,00 рублей на приобретение 4 однокомнатных квартир.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«Организация муниципального управления» (показатели 31-37)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31: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Данный показатель характеризует усилия органов местного самоуправления по развитию собственной доходной базы, и рост значений данного показателя свидетельствует об эффективности деятельности органов местного самоуправления.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Налоговые и неналоговые доходы составили 184 962,3 тыс. рублей это 98,2% к уточненному плану.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В целях увеличения поступлений налоговых доходов в бюджет проведено 11 заседания комиссии по укреплению налоговой, бюджетной дисциплины, рассмотрено 102 хозяйствующих субъектов по вопросам погашения задолженности в бюджет по налогу на доходы физических лиц, по единому налогу на вмененный доход, выявления и пресечения фактов выплат неофициальной заработной платы и сокрытия сумм оплаты труда от налогообложения.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Всего по результатам комиссии взыскано недоимки в местный бюджет 1 282,3 тыс. руб. Из общей суммы задолженности по арендной плате за имущество и земельные участки затруднительной к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взысканию является сумма 813 тыс. руб. в связи с нахождением ряда организаций в стадии банкротства или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По состоянию на 01.01.2023 г.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 действует 321 договоров аренды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земельных участков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(из них 28 заключены в 2022 г., в том числе – 6 договора аренды муниципальных земельных участков). В 2022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4223 тыс. руб.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         По состоянию на 01.01.2023 г.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действует 46 договоров аренды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земельных участков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(из них 11 заключены в 2022 г., в том числе – 11 договоров аренды муниципальных земельных участков). В 2022 году от сдачи в аренду, а также от продажи права аренды земельных участков, государственная собственность на которые не разграничена, в бюджет Суоярвского района поступили средства в размере 652 тыс.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МКУ «ЦУМИ и ЗР Суоярвского района» осуществляло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-исковую работу с недобросовестными арендаторами муниципального имущества и земельных участков в целях усиления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муниципального имущества, а также по взысканию задолженности по арендной плате.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адрес недобросовестных арендаторов муниципального имущества по городу Суоярви было выслано претензий на сумму – 198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., по округу в целом - 330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., а также арендаторов земельных участков Суоярвского муниципального округа – претензий на сумму 116 тыс. руб., по городу Суоярви - 160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адрес недобросовестных арендаторов муниципального имущества и земельных участков было выслано претензий на сумму – 2542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., а также арендаторов земельных участков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район»– претензий на сумму 1755 тыс. руб., арендаторов земельных участков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поселение- 542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., за муниципальное имущество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- 245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– 1231 тыс. рублей,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- 292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., за муниципальное имущество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- 936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Всего за период 2022 года вынесено 27 судебных решений о взыскании предъявленной задолженности, из которых: 22 за аренду земельных участков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на сумму 906 тыс. руб., 5 из них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- 170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поступлений обязательных платежей в районный бюджет создана комиссия по эффективному использованию муниципального имущества. В 2022 году было проведено 1 заседание комиссии.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-исковой работы, в местный бюджет возвращена задолженность по арендной плате за использование муниципального имущества, а также земельных участков в размере – 2534 тыс. руб. (в том числе пени, проценты, неосновательное обогащение).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поселение- 258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.,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- 2 276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Всего за период 2022 года комиссией по признанию задолженности безнадежной к взысканию признано безнадёжной к взысканию задолженности по неналоговым доходам в бюджет и списано задолженности на сумму 344,1 тыс. руб., в том числе за земельные участки – 344,1 тыс. руб. -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01.01.2023 года общая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дебиторская задолженность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 арендной плате за имущество и землю составляет  4405 тыс. руб., в том числе: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- за земельные участки находящееся в муниципальной собственности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(недоимка) составила 1488 тыс. руб., из них: за земельные участки, государственная собственность на которые не разграничена – 1380 тыс. руб., за участки, находящиеся в муниципальной собственности – 41 тыс. руб. В течение 2022 года сумма задолженности за аренду земельных участков уменьшилась на 903 тыс. руб.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- за земельные участки находящееся в муниципальной собственности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(недоимка) составила 1022 тыс. руб., из них: за земельные участки, государственная собственность на которые не разграничена – 70 тыс. руб. В течение 2022 года сумма задолженности за аренду земельных участков увеличилась на 277 тыс.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течение 2022 года в юридический отдел были направлены 32 дела с необходимым пакетом документов для предъявления исковых требований в суд в отношении недобросовестных арендаторов о взыскании задолженности по арендной плате и пени на общую сумму – 1231 тыс. рублей, г. Суоярви - 292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., за муниципальное имущество Суоярвского округа - 936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Всего за период 2022 года вынесено 27 судебных решений о взыскании предъявленной задолженности, из которых: 22 - за аренду земельных участков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на сумму 906 тыс. руб., 5 из них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Суоярвское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- 170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целях обеспечения поступлений обязательных платежей в местный бюджет создана комиссия по эффективному использованию муниципального имущества. В 2022 году было проведено 1 заседание комиссии.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-исковой работы, в местный бюджет возвращена задолженность по арендной плате за использование муниципального имущества, а также земельных участков в размере 2534 тыс.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Всего за период 2022 года комиссией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по признанию задолженности безнадежной к взысканию признано безнадёжной к взысканию задолженности по неналоговым доходам в бюджет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списано задолженности на сумму 344,1 тыс.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01.01.2023 года общая </w:t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дебиторская задолженность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по арендной плате за имущество и землю составляет 4 502 тыс. руб. (на 01.01.2022 – 4 271 тыс. руб.), в том числе: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- за земельные участки находящееся в муниципальной собственности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(недоимка) составила 1 421,0 тыс. руб. (на 01.01.2022 – 2 376,0 тыс. руб.), из них: за земельные участки, государственная собственность на которые не разграничена – 1 380 тыс. руб., за участки,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находящиеся в муниципальной собственности – 41 тыс. руб. В течение 2022 года сумма задолженности за аренду земельных участков уменьшилась на 955,0 тыс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. руб.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- за земельные участки находящееся в муниципальной собственности Суоярвского городского поселения (недоимка) составила 1 022,0 тыс. руб. (на 01.01.2022 – 745,0 тыс. руб.), из них: за земельные участки, государственная собственность на которые не разграничена – 70,0 тыс. руб., за участки, находящиеся в муниципальной собственности – 952,0 тыс. руб. В течение 2022 года сумма задолженности за аренду земельных участков увеличилась на 277,0 тыс. руб.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местный бюджет был сформирован по программно-целевому принципу, обеспечена привязка бюджетных ассигнований к 10-ти муниципальным программам.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целях обеспечения прозрачности и открытости бюджетного процесса, обеспечения вовлечения граждан в бюджетный процесс проводились публичные слушания, официальном Интернет – портале Суоярвского муниципального округа публикуется «Бюджет для граждан».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32: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«Доля основных фондов организаций муниципальной собственности, находящихся в стадии банкротства».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организации муниципальной формы собственности, находящиеся в стадии банкротства, которым передано муниципальное имущество.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33: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Значение данного показателя характеризует планомерность деятельности органов местного самоуправления в сфере строительства.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округе не имеется объектов незавершенного строительства, осуществляемого за счет средств местного бюджета.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34: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течение 2022 года администрация муниципального образования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принимала все необходимые меры для обеспечения своевременной и в полном объеме выплаты  заработной платы работникам муниципальных учреждений. Достижение нулевого значения данного показателя свидетельствует об эффективности деятельности органов местного самоуправления.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Показатель 35: расходы местного бюджета на содержание работников органов местного самоуправления, в расчете на одного жителя в 2022 году составили 2399,00 руб. и увеличились по сравнению с предыдущим годом на 32,9%.   (в 2021 году – 1805  руб.).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36: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Схема территориального планирования Суоярвского района разработана в 2019 году. В 2013 году утверждены Генеральные планы и правила землепользования и застройки всех поселений.  С 2016 года администрацией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в полном объеме организовано исполнение полномочий в сфере градостроительной деятельности на территории сельских поселений.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проведена работа по актуализации документов территориального планирования и градостроительного зонирования, а именно: внесены изменения в Схему территориального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планирования МО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район», в Генеральный план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Поросозерского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Правила землепользования и застройки Суоярвского городского поселения, утверждены новые Генеральные планы и Правила землепользования и застройки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Вешкельского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Лоймольского сельских поселений.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данной работы стало увеличение площади территорий, предусматривающих индивидуальное жилищное строительство и размещение объектов социальной инфраструктуры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Вешкельского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Найстенъярвского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и Лоймольского поселения, а также приведение документации в соответствие с фактическими изменениями территории и новыми задачами развития поселений.   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2023-2024 годах в связи с преобразованием муниципального образования «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район»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Администрацией будут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новый Генеральный план и Правила землепользования и застройки Суоярвского муниципального округа.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37: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социологического опроса, проведенного ФГБУН Институт экономики Карельского научного центра РАН и  Некоммерческим партнерством «Карельский ресурсный Центр общественных организаций», степень удовлетворенности населения деятельностью органов местного самоуправления Суоярвского района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изменилась и составила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в 2022 году 45,31 %. Данный показатель  снизился на 1,54%. По большинству направлений деятельности респонденты дали удовлетворительную оценку.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В 2022 году Законом Республики Карелия от 21 декабря 2020 года № 2528-ЗРК «О бюджете Республики Карелия на 2022 год и на плановый период 2023 и 2024 годов» субсидия на проведение социологического опроса не предусмотрена.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, при заполнении показателя «Удовлетворенность населения деятельностью органов местного самоуправления городского округа (муниципального района)» были использованы результаты интернет-опроса за 2022 год.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ab/>
      </w: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38: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За  2022 год среднегодовая численность населения Суоярвского округа сократилась с 14,598 тыс. человек до 12,676 тыс. человек, или на 13,2 %. Это отразилось на расчете отдельных показателей доклада. К сожалению, тенденция сокращения численности населения в округе сохраняется.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«Энергосбережение и повышение энергетической эффективности»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(показатели 39-40)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Показатель 39: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удельного потребления в многоквартирных жилых домах по следующим энергетическим ресурсам: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- по электрической энергии -  составило 1196 кВт/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1 проживающего;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по горячей воде –  составило 4,980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на 1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по холодной воде – составило 32,654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на 1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Уровень удельного потребления тепловой энергии в многоквартирных домах в 2022 году составил 0,560 Гкал на 1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общей площади.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40: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муниципальных программах «Развитие образования в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районе» и «Развитие культуры Суоярвского района» предусмотрены подпрограммы 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«Энергосбережение и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». В соответствии с данными подпрограммами  в муниципальных учреждениях проводятся мероприятия по утеплению зданий,  замене ламп накаливания 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энергосберегающие, установка и поверка приборов учета. На выполнение мероприятий по энергосбережению и повышению энергетической эффективности в муниципальных учреждениях израсходовано 265,813 тыс. руб.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Однако по итогам 2022 года не удалось снизить потребление энергетических ресурсов муниципальными учреждениями: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- по электрической энергии – удельное потребление кВт/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 населения составило – 225 кВт/ч на 1 проживающего. В 2021 году - 68,3кВт/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>, увеличение на 156,7 кВт/ч, что связано с уменьшением численности работников и детей и увеличением количества различной техники и водонагревателей;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по холодной воде  –  удельное потребление составило 2,4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куб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 населения и увеличилось по сравнению с предыдущим годом на 1,75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куб.м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., что связано с уменьшением численности работников и детей;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- по тепловой энергии - удельное потребление составило 0,31 Гкал на 1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. общей площади. Показатель увеличился на 0,15  Гкал на 1 </w:t>
      </w:r>
      <w:proofErr w:type="spellStart"/>
      <w:r w:rsidRPr="005116F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5116F8">
        <w:rPr>
          <w:rFonts w:ascii="Times New Roman" w:eastAsia="Times New Roman" w:hAnsi="Times New Roman" w:cs="Times New Roman"/>
          <w:sz w:val="28"/>
          <w:szCs w:val="28"/>
        </w:rPr>
        <w:t>. общей площади по сравнению с предыдущим годом</w:t>
      </w:r>
      <w:proofErr w:type="gramStart"/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Уменьшение данных показателей связано с реорганизацией образовательных учреждений.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С 2013 года все муниципальные учреждения переведены на децентрализованное горячее водоснабжение (водонагреватели).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Раздел «Независимая оценка качества оказания услуг» (показатель 41)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41.1.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В 2022 году проведена независимая оценка качества условий оказания услуг организацией в сфере культуры, результат составил – 79,23 балла. 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b/>
          <w:sz w:val="28"/>
          <w:szCs w:val="28"/>
        </w:rPr>
        <w:t>Показатель 41.2.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Независимая оценка качества условий оказания услуг муниципальными организациями в сфере образования  проводилась в 2022 году, средний показатель по всем учреждениям составил 84,51 балл.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16F8" w:rsidRPr="005116F8" w:rsidRDefault="005116F8" w:rsidP="00511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16F8">
        <w:rPr>
          <w:rFonts w:ascii="Times New Roman" w:eastAsia="Times New Roman" w:hAnsi="Times New Roman" w:cs="Times New Roman"/>
          <w:sz w:val="28"/>
          <w:szCs w:val="28"/>
        </w:rPr>
        <w:t>Глава Суоярвского</w:t>
      </w:r>
    </w:p>
    <w:p w:rsidR="005116F8" w:rsidRPr="005116F8" w:rsidRDefault="005116F8" w:rsidP="005116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116F8">
        <w:rPr>
          <w:rFonts w:ascii="Times New Roman" w:eastAsia="Times New Roman" w:hAnsi="Times New Roman" w:cs="Times New Roman"/>
          <w:sz w:val="28"/>
          <w:szCs w:val="28"/>
        </w:rPr>
        <w:t>униципального округа                                                                                                 Р.В. Петров</w:t>
      </w: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116F8" w:rsidRPr="005116F8" w:rsidRDefault="005116F8" w:rsidP="005116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5116F8" w:rsidRPr="005116F8" w:rsidSect="002927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0BE" w:rsidRDefault="001230BE" w:rsidP="007009A8">
      <w:pPr>
        <w:spacing w:after="0" w:line="240" w:lineRule="auto"/>
      </w:pPr>
      <w:r>
        <w:separator/>
      </w:r>
    </w:p>
  </w:endnote>
  <w:endnote w:type="continuationSeparator" w:id="0">
    <w:p w:rsidR="001230BE" w:rsidRDefault="001230BE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0BE" w:rsidRDefault="001230BE" w:rsidP="007009A8">
      <w:pPr>
        <w:spacing w:after="0" w:line="240" w:lineRule="auto"/>
      </w:pPr>
      <w:r>
        <w:separator/>
      </w:r>
    </w:p>
  </w:footnote>
  <w:footnote w:type="continuationSeparator" w:id="0">
    <w:p w:rsidR="001230BE" w:rsidRDefault="001230BE" w:rsidP="0070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7EB"/>
    <w:multiLevelType w:val="hybridMultilevel"/>
    <w:tmpl w:val="DFC0732E"/>
    <w:lvl w:ilvl="0" w:tplc="7140276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C"/>
    <w:rsid w:val="0000375B"/>
    <w:rsid w:val="000239D0"/>
    <w:rsid w:val="00024028"/>
    <w:rsid w:val="0005232E"/>
    <w:rsid w:val="000A3782"/>
    <w:rsid w:val="000C7A9D"/>
    <w:rsid w:val="001230BE"/>
    <w:rsid w:val="00131977"/>
    <w:rsid w:val="001E128F"/>
    <w:rsid w:val="00292709"/>
    <w:rsid w:val="002E3B94"/>
    <w:rsid w:val="00311F80"/>
    <w:rsid w:val="0035264C"/>
    <w:rsid w:val="00357D48"/>
    <w:rsid w:val="003B2C01"/>
    <w:rsid w:val="003F1BF0"/>
    <w:rsid w:val="004255D7"/>
    <w:rsid w:val="004C0BD8"/>
    <w:rsid w:val="004C747C"/>
    <w:rsid w:val="004D2E9A"/>
    <w:rsid w:val="005116F8"/>
    <w:rsid w:val="00521503"/>
    <w:rsid w:val="00552AF7"/>
    <w:rsid w:val="00583F63"/>
    <w:rsid w:val="005E0ABC"/>
    <w:rsid w:val="005E6652"/>
    <w:rsid w:val="00607BC7"/>
    <w:rsid w:val="006172ED"/>
    <w:rsid w:val="006223A9"/>
    <w:rsid w:val="006902B0"/>
    <w:rsid w:val="007009A8"/>
    <w:rsid w:val="00706271"/>
    <w:rsid w:val="00744C86"/>
    <w:rsid w:val="007A2D27"/>
    <w:rsid w:val="007E41F2"/>
    <w:rsid w:val="007E4755"/>
    <w:rsid w:val="007F450C"/>
    <w:rsid w:val="008337CA"/>
    <w:rsid w:val="008727E0"/>
    <w:rsid w:val="00873DB2"/>
    <w:rsid w:val="00901AAB"/>
    <w:rsid w:val="00905DD5"/>
    <w:rsid w:val="00935536"/>
    <w:rsid w:val="009C5CCE"/>
    <w:rsid w:val="00AF4A43"/>
    <w:rsid w:val="00B24621"/>
    <w:rsid w:val="00BD11DC"/>
    <w:rsid w:val="00C268B5"/>
    <w:rsid w:val="00C60BB7"/>
    <w:rsid w:val="00C70F8F"/>
    <w:rsid w:val="00C93C51"/>
    <w:rsid w:val="00C94653"/>
    <w:rsid w:val="00CD68B1"/>
    <w:rsid w:val="00D47F0C"/>
    <w:rsid w:val="00DB66C1"/>
    <w:rsid w:val="00E25848"/>
    <w:rsid w:val="00EA04F7"/>
    <w:rsid w:val="00EA7937"/>
    <w:rsid w:val="00EC27CD"/>
    <w:rsid w:val="00EE547A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Char Знак Знак1,Body Text Char Знак2"/>
    <w:basedOn w:val="a0"/>
    <w:uiPriority w:val="99"/>
    <w:rsid w:val="003B2C01"/>
    <w:rPr>
      <w:rFonts w:ascii="Times New Roman" w:hAnsi="Times New Roman" w:cs="Times New Roman"/>
      <w:color w:val="32323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511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ody Text Char Знак Знак1,Body Text Char Знак2"/>
    <w:basedOn w:val="a0"/>
    <w:uiPriority w:val="99"/>
    <w:rsid w:val="003B2C01"/>
    <w:rPr>
      <w:rFonts w:ascii="Times New Roman" w:hAnsi="Times New Roman" w:cs="Times New Roman"/>
      <w:color w:val="32323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511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9070</Words>
  <Characters>51700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Хлопкина М С</cp:lastModifiedBy>
  <cp:revision>3</cp:revision>
  <cp:lastPrinted>2023-05-30T12:34:00Z</cp:lastPrinted>
  <dcterms:created xsi:type="dcterms:W3CDTF">2023-05-30T12:09:00Z</dcterms:created>
  <dcterms:modified xsi:type="dcterms:W3CDTF">2023-05-30T13:40:00Z</dcterms:modified>
</cp:coreProperties>
</file>