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7BA" w:rsidRDefault="009C27BA" w:rsidP="009C27BA"/>
    <w:p w:rsidR="009C27BA" w:rsidRDefault="008E4492" w:rsidP="008E4492">
      <w:pPr>
        <w:jc w:val="center"/>
      </w:pPr>
      <w:r>
        <w:rPr>
          <w:noProof/>
          <w:lang w:eastAsia="ru-RU"/>
        </w:rPr>
        <w:drawing>
          <wp:inline distT="0" distB="0" distL="0" distR="0" wp14:anchorId="0F5734C0">
            <wp:extent cx="504825" cy="809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РЕСПУБЛИКА  КАРЕЛИЯ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27BA" w:rsidRPr="00461697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697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DA28C6" w:rsidRPr="00461697">
        <w:rPr>
          <w:rFonts w:ascii="Times New Roman" w:hAnsi="Times New Roman" w:cs="Times New Roman"/>
          <w:b/>
          <w:sz w:val="28"/>
          <w:szCs w:val="28"/>
        </w:rPr>
        <w:t>СУОЯРВСКОГО МУНИЦИПАЛЬНОГО ОКРУГА</w:t>
      </w:r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XI сессия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I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созыв</w:t>
      </w:r>
    </w:p>
    <w:p w:rsidR="009C27BA" w:rsidRPr="00461697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69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27.04.2023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61697">
        <w:rPr>
          <w:rFonts w:ascii="Times New Roman" w:hAnsi="Times New Roman" w:cs="Times New Roman"/>
          <w:sz w:val="28"/>
          <w:szCs w:val="28"/>
        </w:rPr>
        <w:t>№ 141</w:t>
      </w:r>
    </w:p>
    <w:p w:rsidR="008E4492" w:rsidRDefault="008E4492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8E9" w:rsidRPr="00643500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500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168E9" w:rsidRPr="00643500">
        <w:rPr>
          <w:rFonts w:ascii="Times New Roman" w:hAnsi="Times New Roman" w:cs="Times New Roman"/>
          <w:b/>
          <w:sz w:val="28"/>
          <w:szCs w:val="28"/>
        </w:rPr>
        <w:t>назначении публичных слушаний по проекту</w:t>
      </w:r>
    </w:p>
    <w:p w:rsidR="009C27BA" w:rsidRPr="00643500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500">
        <w:rPr>
          <w:rFonts w:ascii="Times New Roman" w:hAnsi="Times New Roman" w:cs="Times New Roman"/>
          <w:b/>
          <w:sz w:val="28"/>
          <w:szCs w:val="28"/>
        </w:rPr>
        <w:t xml:space="preserve"> решения Совета </w:t>
      </w:r>
      <w:r w:rsidR="00DA28C6" w:rsidRPr="00643500">
        <w:rPr>
          <w:rFonts w:ascii="Times New Roman" w:hAnsi="Times New Roman" w:cs="Times New Roman"/>
          <w:b/>
          <w:sz w:val="28"/>
          <w:szCs w:val="28"/>
        </w:rPr>
        <w:t xml:space="preserve"> Суоярвского </w:t>
      </w:r>
      <w:r w:rsidRPr="00643500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DA28C6" w:rsidRPr="00643500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5C318E" w:rsidRPr="00643500" w:rsidRDefault="009C27BA" w:rsidP="005C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500">
        <w:rPr>
          <w:rFonts w:ascii="Times New Roman" w:hAnsi="Times New Roman" w:cs="Times New Roman"/>
          <w:b/>
          <w:sz w:val="28"/>
          <w:szCs w:val="28"/>
        </w:rPr>
        <w:t>«Об исполнении бюджета</w:t>
      </w:r>
      <w:r w:rsidR="00DA28C6" w:rsidRPr="006435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21B" w:rsidRPr="00643500">
        <w:rPr>
          <w:rFonts w:ascii="Times New Roman" w:hAnsi="Times New Roman" w:cs="Times New Roman"/>
          <w:b/>
          <w:sz w:val="28"/>
          <w:szCs w:val="28"/>
        </w:rPr>
        <w:t>Лоймольского</w:t>
      </w:r>
      <w:r w:rsidR="009660FA" w:rsidRPr="00643500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8151B9" w:rsidRPr="00643500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</w:p>
    <w:p w:rsidR="009C27BA" w:rsidRPr="00643500" w:rsidRDefault="00DA28C6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500">
        <w:rPr>
          <w:rFonts w:ascii="Times New Roman" w:hAnsi="Times New Roman" w:cs="Times New Roman"/>
          <w:b/>
          <w:sz w:val="28"/>
          <w:szCs w:val="28"/>
        </w:rPr>
        <w:t>за 2022 год</w:t>
      </w:r>
      <w:r w:rsidR="009C27BA" w:rsidRPr="00643500">
        <w:rPr>
          <w:rFonts w:ascii="Times New Roman" w:hAnsi="Times New Roman" w:cs="Times New Roman"/>
          <w:b/>
          <w:sz w:val="28"/>
          <w:szCs w:val="28"/>
        </w:rPr>
        <w:t>»</w:t>
      </w:r>
    </w:p>
    <w:p w:rsidR="00DA28C6" w:rsidRPr="00461697" w:rsidRDefault="00461697" w:rsidP="00DA28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Совет Суоярвского муниципального округа </w:t>
      </w:r>
      <w:r w:rsidRPr="0046169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</w:t>
      </w:r>
      <w:r w:rsidR="00DA28C6">
        <w:rPr>
          <w:rFonts w:ascii="Times New Roman" w:hAnsi="Times New Roman" w:cs="Times New Roman"/>
          <w:sz w:val="28"/>
          <w:szCs w:val="28"/>
        </w:rPr>
        <w:t>.  Назначить</w:t>
      </w:r>
      <w:r w:rsidR="008C49FE" w:rsidRPr="008C49FE">
        <w:t xml:space="preserve"> </w:t>
      </w:r>
      <w:r w:rsidR="008C49FE" w:rsidRPr="008C49FE">
        <w:rPr>
          <w:rFonts w:ascii="Times New Roman" w:hAnsi="Times New Roman" w:cs="Times New Roman"/>
          <w:sz w:val="28"/>
          <w:szCs w:val="28"/>
        </w:rPr>
        <w:t>публичные слушания по обсуждению проекта решения</w:t>
      </w:r>
      <w:r w:rsidR="008151B9">
        <w:rPr>
          <w:rFonts w:ascii="Times New Roman" w:hAnsi="Times New Roman" w:cs="Times New Roman"/>
          <w:sz w:val="28"/>
          <w:szCs w:val="28"/>
        </w:rPr>
        <w:t xml:space="preserve"> Совета Суоярвского муниципального округа</w:t>
      </w:r>
      <w:r w:rsidR="008C49FE" w:rsidRPr="008C49FE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r w:rsidR="00E5621B">
        <w:rPr>
          <w:rFonts w:ascii="Times New Roman" w:hAnsi="Times New Roman" w:cs="Times New Roman"/>
          <w:sz w:val="28"/>
          <w:szCs w:val="28"/>
        </w:rPr>
        <w:t>Лоймольского</w:t>
      </w:r>
      <w:r w:rsidR="009660F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151B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8C49FE">
        <w:rPr>
          <w:rFonts w:ascii="Times New Roman" w:hAnsi="Times New Roman" w:cs="Times New Roman"/>
          <w:sz w:val="28"/>
          <w:szCs w:val="28"/>
        </w:rPr>
        <w:t xml:space="preserve"> за 2022 год» </w:t>
      </w:r>
      <w:r w:rsidR="00E56855">
        <w:rPr>
          <w:rFonts w:ascii="Times New Roman" w:hAnsi="Times New Roman" w:cs="Times New Roman"/>
          <w:sz w:val="28"/>
          <w:szCs w:val="28"/>
        </w:rPr>
        <w:t xml:space="preserve"> на 16</w:t>
      </w:r>
      <w:r w:rsidR="00DA28C6">
        <w:rPr>
          <w:rFonts w:ascii="Times New Roman" w:hAnsi="Times New Roman" w:cs="Times New Roman"/>
          <w:sz w:val="28"/>
          <w:szCs w:val="28"/>
        </w:rPr>
        <w:t xml:space="preserve"> мая 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года в 17 часов 00 мин. по адресу:  г. Суоярви, ул. Ленина, д. 33 в Центральной районной библиотеке (МУК «</w:t>
      </w:r>
      <w:proofErr w:type="spellStart"/>
      <w:r w:rsidR="009C27BA" w:rsidRPr="00DA28C6">
        <w:rPr>
          <w:rFonts w:ascii="Times New Roman" w:hAnsi="Times New Roman" w:cs="Times New Roman"/>
          <w:sz w:val="28"/>
          <w:szCs w:val="28"/>
        </w:rPr>
        <w:t>Суоярвская</w:t>
      </w:r>
      <w:proofErr w:type="spellEnd"/>
      <w:r w:rsidR="009C27BA" w:rsidRPr="00DA28C6">
        <w:rPr>
          <w:rFonts w:ascii="Times New Roman" w:hAnsi="Times New Roman" w:cs="Times New Roman"/>
          <w:sz w:val="28"/>
          <w:szCs w:val="28"/>
        </w:rPr>
        <w:t xml:space="preserve"> ЦБС»)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C27BA" w:rsidRPr="00DA28C6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Утвердить состав организационного комитета для подготовки и проведения публичных слушаний по обсуждению проекта решения Совета </w:t>
      </w:r>
      <w:r w:rsidR="00750757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r w:rsidR="00E5621B">
        <w:rPr>
          <w:rFonts w:ascii="Times New Roman" w:hAnsi="Times New Roman" w:cs="Times New Roman"/>
          <w:sz w:val="28"/>
          <w:szCs w:val="28"/>
        </w:rPr>
        <w:t>Лоймольского</w:t>
      </w:r>
      <w:r w:rsidR="009660F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151B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750757">
        <w:rPr>
          <w:rFonts w:ascii="Times New Roman" w:hAnsi="Times New Roman" w:cs="Times New Roman"/>
          <w:sz w:val="28"/>
          <w:szCs w:val="28"/>
        </w:rPr>
        <w:t xml:space="preserve"> за  2022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C49FE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Васенина Н.В.,</w:t>
      </w:r>
      <w:r w:rsidR="00D31A64">
        <w:rPr>
          <w:rFonts w:ascii="Times New Roman" w:hAnsi="Times New Roman" w:cs="Times New Roman"/>
          <w:sz w:val="28"/>
          <w:szCs w:val="28"/>
        </w:rPr>
        <w:t xml:space="preserve"> руководитель организационного комитета</w:t>
      </w:r>
      <w:r w:rsidR="00D31A64" w:rsidRPr="00D31A64">
        <w:t xml:space="preserve"> </w:t>
      </w:r>
      <w:r w:rsidR="00D31A64" w:rsidRPr="00D31A64">
        <w:rPr>
          <w:rFonts w:ascii="Times New Roman" w:hAnsi="Times New Roman" w:cs="Times New Roman"/>
          <w:sz w:val="28"/>
          <w:szCs w:val="28"/>
        </w:rPr>
        <w:t>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председательствующий на 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9C27BA" w:rsidRPr="00DA28C6">
        <w:rPr>
          <w:rFonts w:ascii="Times New Roman" w:hAnsi="Times New Roman" w:cs="Times New Roman"/>
          <w:sz w:val="28"/>
          <w:szCs w:val="28"/>
        </w:rPr>
        <w:t>2)</w:t>
      </w:r>
      <w:r w:rsidR="009C27BA" w:rsidRPr="00DA28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Окрукова Л.А.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, </w:t>
      </w:r>
      <w:r w:rsidR="00D31A64"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организационного комитета 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Суоярвского </w:t>
      </w:r>
      <w:r w:rsidR="009C27BA" w:rsidRPr="00DA28C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>;</w:t>
      </w:r>
    </w:p>
    <w:p w:rsidR="00327724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3)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C49FE">
        <w:rPr>
          <w:rFonts w:ascii="Times New Roman" w:hAnsi="Times New Roman" w:cs="Times New Roman"/>
          <w:sz w:val="28"/>
          <w:szCs w:val="28"/>
        </w:rPr>
        <w:t>Гульчук</w:t>
      </w:r>
      <w:proofErr w:type="spellEnd"/>
      <w:r w:rsidR="008C49FE">
        <w:rPr>
          <w:rFonts w:ascii="Times New Roman" w:hAnsi="Times New Roman" w:cs="Times New Roman"/>
          <w:sz w:val="28"/>
          <w:szCs w:val="28"/>
        </w:rPr>
        <w:t xml:space="preserve"> А.А.</w:t>
      </w:r>
      <w:r w:rsidRPr="00DA28C6">
        <w:rPr>
          <w:rFonts w:ascii="Times New Roman" w:hAnsi="Times New Roman" w:cs="Times New Roman"/>
          <w:sz w:val="28"/>
          <w:szCs w:val="28"/>
        </w:rPr>
        <w:t>, депутат</w:t>
      </w:r>
      <w:r w:rsidR="008C49FE">
        <w:rPr>
          <w:rFonts w:ascii="Times New Roman" w:hAnsi="Times New Roman" w:cs="Times New Roman"/>
          <w:sz w:val="28"/>
          <w:szCs w:val="28"/>
        </w:rPr>
        <w:t>, председатель постоянной депутатской комиссии</w:t>
      </w: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8C49FE">
        <w:rPr>
          <w:rFonts w:ascii="Times New Roman" w:hAnsi="Times New Roman" w:cs="Times New Roman"/>
          <w:sz w:val="28"/>
          <w:szCs w:val="28"/>
        </w:rPr>
        <w:t xml:space="preserve">по бюджету и социально-экономическому </w:t>
      </w:r>
      <w:r w:rsidRPr="00DA28C6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27724">
        <w:rPr>
          <w:rFonts w:ascii="Times New Roman" w:hAnsi="Times New Roman" w:cs="Times New Roman"/>
          <w:sz w:val="28"/>
          <w:szCs w:val="28"/>
        </w:rPr>
        <w:t>Суоярвского муниципального округа;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4)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Кракулева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А.Г., начальник финансово</w:t>
      </w:r>
      <w:r w:rsidR="00327724">
        <w:rPr>
          <w:rFonts w:ascii="Times New Roman" w:hAnsi="Times New Roman" w:cs="Times New Roman"/>
          <w:sz w:val="28"/>
          <w:szCs w:val="28"/>
        </w:rPr>
        <w:t>го управления администрации Суоярвского муниципального округа</w:t>
      </w:r>
      <w:r w:rsidRPr="00DA28C6"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5)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Хвойницкая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Е.В., главный специалист финансового управления администрации </w:t>
      </w:r>
      <w:r w:rsidR="00327724">
        <w:rPr>
          <w:rFonts w:ascii="Times New Roman" w:hAnsi="Times New Roman" w:cs="Times New Roman"/>
          <w:sz w:val="28"/>
          <w:szCs w:val="28"/>
        </w:rPr>
        <w:t>Су</w:t>
      </w:r>
      <w:r w:rsidR="005C318E">
        <w:rPr>
          <w:rFonts w:ascii="Times New Roman" w:hAnsi="Times New Roman" w:cs="Times New Roman"/>
          <w:sz w:val="28"/>
          <w:szCs w:val="28"/>
        </w:rPr>
        <w:t>оярвского муниципального округа.</w:t>
      </w: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1A64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</w:t>
      </w:r>
      <w:r w:rsidR="00327724" w:rsidRPr="00327724">
        <w:rPr>
          <w:rFonts w:ascii="Times New Roman" w:hAnsi="Times New Roman" w:cs="Times New Roman"/>
          <w:sz w:val="28"/>
          <w:szCs w:val="28"/>
        </w:rPr>
        <w:t>Утвердить текст оповещения о начале публичных слушаний (Приложение № 1)</w:t>
      </w:r>
    </w:p>
    <w:p w:rsidR="008F17CD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="009C27BA" w:rsidRPr="00DA28C6">
        <w:rPr>
          <w:rFonts w:ascii="Times New Roman" w:hAnsi="Times New Roman" w:cs="Times New Roman"/>
          <w:sz w:val="28"/>
          <w:szCs w:val="28"/>
        </w:rPr>
        <w:t>.</w:t>
      </w:r>
      <w:r w:rsidR="00327724" w:rsidRPr="00327724">
        <w:t xml:space="preserve"> </w:t>
      </w:r>
      <w:r w:rsidR="00327724" w:rsidRPr="00327724">
        <w:rPr>
          <w:rFonts w:ascii="Times New Roman" w:hAnsi="Times New Roman" w:cs="Times New Roman"/>
          <w:sz w:val="28"/>
          <w:szCs w:val="28"/>
        </w:rPr>
        <w:t>Опубликовать оповещение о начале публичных слушаний (Приложение № 1) в газете «</w:t>
      </w:r>
      <w:proofErr w:type="spellStart"/>
      <w:r w:rsidR="00327724" w:rsidRPr="00327724">
        <w:rPr>
          <w:rFonts w:ascii="Times New Roman" w:hAnsi="Times New Roman" w:cs="Times New Roman"/>
          <w:sz w:val="28"/>
          <w:szCs w:val="28"/>
        </w:rPr>
        <w:t>Суоярвский</w:t>
      </w:r>
      <w:proofErr w:type="spellEnd"/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327724" w:rsidRPr="00327724">
        <w:t xml:space="preserve"> </w:t>
      </w:r>
      <w:r w:rsidR="00327724">
        <w:rPr>
          <w:rFonts w:ascii="Times New Roman" w:hAnsi="Times New Roman" w:cs="Times New Roman"/>
          <w:sz w:val="28"/>
          <w:szCs w:val="28"/>
        </w:rPr>
        <w:t>не позднее 04 мая 2023</w:t>
      </w:r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года.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>.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</w:t>
      </w:r>
      <w:r w:rsidR="00D31A64" w:rsidRPr="00D31A64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не позднее 04 мая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на официальном сайте Суоярвского муниципального округа в информационно-телекоммуникационной сети «Интернет», расположенном по адресу: http://www.suojarvi.ru: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.1 </w:t>
      </w:r>
      <w:r w:rsidR="008F17CD" w:rsidRPr="008F17CD">
        <w:rPr>
          <w:rFonts w:ascii="Times New Roman" w:hAnsi="Times New Roman" w:cs="Times New Roman"/>
          <w:sz w:val="28"/>
          <w:szCs w:val="28"/>
        </w:rPr>
        <w:t>оповещение о начале публи</w:t>
      </w:r>
      <w:r w:rsidR="008F17CD">
        <w:rPr>
          <w:rFonts w:ascii="Times New Roman" w:hAnsi="Times New Roman" w:cs="Times New Roman"/>
          <w:sz w:val="28"/>
          <w:szCs w:val="28"/>
        </w:rPr>
        <w:t>чных слушаний (Приложение № 1);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.2 </w:t>
      </w:r>
      <w:r w:rsidR="008F17CD" w:rsidRPr="008F17CD">
        <w:rPr>
          <w:rFonts w:ascii="Times New Roman" w:hAnsi="Times New Roman" w:cs="Times New Roman"/>
          <w:sz w:val="28"/>
          <w:szCs w:val="28"/>
        </w:rPr>
        <w:t>проект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решения Совета Суоярвского муниципального округа «Об исполнении бюджета </w:t>
      </w:r>
      <w:r w:rsidR="00E5621B">
        <w:rPr>
          <w:rFonts w:ascii="Times New Roman" w:hAnsi="Times New Roman" w:cs="Times New Roman"/>
          <w:sz w:val="28"/>
          <w:szCs w:val="28"/>
        </w:rPr>
        <w:t>Лоймольского</w:t>
      </w:r>
      <w:r w:rsidR="009660F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151B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F17CD">
        <w:rPr>
          <w:rFonts w:ascii="Times New Roman" w:hAnsi="Times New Roman" w:cs="Times New Roman"/>
          <w:sz w:val="28"/>
          <w:szCs w:val="28"/>
        </w:rPr>
        <w:t xml:space="preserve"> за  2022 год»,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>подлежащий рассмотрению на публичных слушаниях (Приложение № 2);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</w:t>
      </w:r>
      <w:r w:rsidR="008F17CD">
        <w:rPr>
          <w:rFonts w:ascii="Times New Roman" w:hAnsi="Times New Roman" w:cs="Times New Roman"/>
          <w:sz w:val="28"/>
          <w:szCs w:val="28"/>
        </w:rPr>
        <w:t>. О</w:t>
      </w:r>
      <w:r w:rsidR="008F17CD" w:rsidRPr="008F17CD">
        <w:rPr>
          <w:rFonts w:ascii="Times New Roman" w:hAnsi="Times New Roman" w:cs="Times New Roman"/>
          <w:sz w:val="28"/>
          <w:szCs w:val="28"/>
        </w:rPr>
        <w:t>рганиз</w:t>
      </w:r>
      <w:r w:rsidR="008F17CD">
        <w:rPr>
          <w:rFonts w:ascii="Times New Roman" w:hAnsi="Times New Roman" w:cs="Times New Roman"/>
          <w:sz w:val="28"/>
          <w:szCs w:val="28"/>
        </w:rPr>
        <w:t>ационному комитету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</w:t>
      </w:r>
      <w:r w:rsidR="008F17CD">
        <w:rPr>
          <w:rFonts w:ascii="Times New Roman" w:hAnsi="Times New Roman" w:cs="Times New Roman"/>
          <w:sz w:val="28"/>
          <w:szCs w:val="28"/>
        </w:rPr>
        <w:t>по</w:t>
      </w:r>
      <w:r w:rsidR="00D31A64">
        <w:t xml:space="preserve"> </w:t>
      </w:r>
      <w:r w:rsidR="00D31A64" w:rsidRPr="00D31A64">
        <w:rPr>
          <w:rFonts w:ascii="Times New Roman" w:hAnsi="Times New Roman" w:cs="Times New Roman"/>
          <w:sz w:val="32"/>
          <w:szCs w:val="32"/>
        </w:rPr>
        <w:t>подготовке и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проведению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публичных слушаний подготовить протокол публичных слушаний и заключение о результата</w:t>
      </w:r>
      <w:r w:rsidR="008F17CD">
        <w:rPr>
          <w:rFonts w:ascii="Times New Roman" w:hAnsi="Times New Roman" w:cs="Times New Roman"/>
          <w:sz w:val="28"/>
          <w:szCs w:val="28"/>
        </w:rPr>
        <w:t>х публичных слуша</w:t>
      </w:r>
      <w:r w:rsidR="00D31A64">
        <w:rPr>
          <w:rFonts w:ascii="Times New Roman" w:hAnsi="Times New Roman" w:cs="Times New Roman"/>
          <w:sz w:val="28"/>
          <w:szCs w:val="28"/>
        </w:rPr>
        <w:t>ний в течение 3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дней со дня проведения публичных слушаний.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 на официальном сайте Суоярвского муниципального округа в информационно-телекоммуникационной сети «Интернет», расположенном по адресу: http://www.suojarvi.ru, протокол публичных слушаний и заключение о результатах публичных слушаний в течение 10 дней со дня проведения публичных слушаний.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rPr>
          <w:rFonts w:ascii="Times New Roman" w:hAnsi="Times New Roman" w:cs="Times New Roman"/>
          <w:sz w:val="28"/>
          <w:szCs w:val="28"/>
        </w:rPr>
        <w:tab/>
        <w:t>Опубликовать заключение о результатах публичных слушаний в газете «</w:t>
      </w:r>
      <w:proofErr w:type="spellStart"/>
      <w:r w:rsidR="008F17CD" w:rsidRPr="008F17CD">
        <w:rPr>
          <w:rFonts w:ascii="Times New Roman" w:hAnsi="Times New Roman" w:cs="Times New Roman"/>
          <w:sz w:val="28"/>
          <w:szCs w:val="28"/>
        </w:rPr>
        <w:t>Суоярвск</w:t>
      </w:r>
      <w:r w:rsidR="00E56855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E56855">
        <w:rPr>
          <w:rFonts w:ascii="Times New Roman" w:hAnsi="Times New Roman" w:cs="Times New Roman"/>
          <w:sz w:val="28"/>
          <w:szCs w:val="28"/>
        </w:rPr>
        <w:t xml:space="preserve"> вестник» не позднее 25 мая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E56855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</w:t>
      </w:r>
      <w:r w:rsidR="00E56855">
        <w:rPr>
          <w:rFonts w:ascii="Times New Roman" w:hAnsi="Times New Roman" w:cs="Times New Roman"/>
          <w:sz w:val="28"/>
          <w:szCs w:val="28"/>
        </w:rPr>
        <w:t>.Решение вступает в силу с момента его подписания.</w:t>
      </w:r>
    </w:p>
    <w:p w:rsidR="008F17CD" w:rsidRDefault="008F17CD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E56855">
        <w:rPr>
          <w:rFonts w:ascii="Times New Roman" w:hAnsi="Times New Roman" w:cs="Times New Roman"/>
          <w:sz w:val="28"/>
          <w:szCs w:val="28"/>
        </w:rPr>
        <w:t>Суоярвского</w:t>
      </w:r>
    </w:p>
    <w:p w:rsidR="00E56855" w:rsidRPr="00DA28C6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Н.В. Васенина</w:t>
      </w: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Суоярвского</w:t>
      </w:r>
    </w:p>
    <w:p w:rsidR="008C49FE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Р.В.</w:t>
      </w:r>
      <w:r w:rsidR="008E4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Петров</w:t>
      </w:r>
    </w:p>
    <w:p w:rsidR="008C49FE" w:rsidRP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C11C64" w:rsidRDefault="008E4492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Х</w:t>
      </w:r>
      <w:proofErr w:type="gramStart"/>
      <w:r w:rsidR="00C11C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8E4492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  <w:r w:rsidR="00461697">
        <w:rPr>
          <w:rFonts w:ascii="Times New Roman" w:eastAsia="Times New Roman" w:hAnsi="Times New Roman" w:cs="Times New Roman"/>
          <w:sz w:val="24"/>
          <w:szCs w:val="24"/>
          <w:lang w:eastAsia="ru-RU"/>
        </w:rPr>
        <w:t>№ 141</w:t>
      </w:r>
    </w:p>
    <w:p w:rsidR="00C11C64" w:rsidRPr="00A06A10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208"/>
      <w:bookmarkEnd w:id="0"/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начале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Суоярвского муниципального округа, как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 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оповещает  о  проведении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Приглашаем всех  заинтересованных лиц принять участие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публичных слушаниях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Информация  по  вынесенном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 на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приведена ниже.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6"/>
        <w:gridCol w:w="5630"/>
        <w:gridCol w:w="3757"/>
      </w:tblGrid>
      <w:tr w:rsidR="008E4492" w:rsidRPr="00A06A10" w:rsidTr="0064350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подлежащего рассмотрен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слушаниях</w:t>
            </w:r>
          </w:p>
        </w:tc>
        <w:tc>
          <w:tcPr>
            <w:tcW w:w="3757" w:type="dxa"/>
          </w:tcPr>
          <w:p w:rsidR="005C5CFF" w:rsidRPr="005C5CFF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проекте решения Совета  Суоярвского муниципального округа</w:t>
            </w:r>
          </w:p>
          <w:p w:rsidR="008E4492" w:rsidRPr="00A06A10" w:rsidRDefault="005C5CFF" w:rsidP="005C3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исполнении бюджета</w:t>
            </w:r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Лоймольского</w:t>
            </w:r>
            <w:r w:rsidR="0096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815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2022 год»</w:t>
            </w:r>
          </w:p>
        </w:tc>
      </w:tr>
      <w:tr w:rsidR="008E4492" w:rsidRPr="00A06A10" w:rsidTr="0064350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информационных материалов к проекту, подлежащему рассмотрен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3757" w:type="dxa"/>
          </w:tcPr>
          <w:p w:rsidR="005C318E" w:rsidRPr="005C5CFF" w:rsidRDefault="005C5CFF" w:rsidP="005C3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«Об исполнении бюджета</w:t>
            </w:r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Лоймольского</w:t>
            </w:r>
            <w:r w:rsidR="0096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815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</w:p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2022 год»</w:t>
            </w:r>
          </w:p>
        </w:tc>
      </w:tr>
      <w:tr w:rsidR="008E4492" w:rsidRPr="00A06A10" w:rsidTr="0064350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проведения 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</w:t>
            </w:r>
          </w:p>
        </w:tc>
        <w:tc>
          <w:tcPr>
            <w:tcW w:w="3757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04.05.2023 по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5.05.23</w:t>
            </w:r>
          </w:p>
        </w:tc>
      </w:tr>
      <w:tr w:rsidR="008E4492" w:rsidRPr="00A06A10" w:rsidTr="0064350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в п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ределах которой проводятся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слушания</w:t>
            </w:r>
          </w:p>
        </w:tc>
        <w:tc>
          <w:tcPr>
            <w:tcW w:w="3757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Суоярвский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округ</w:t>
            </w:r>
          </w:p>
        </w:tc>
      </w:tr>
      <w:tr w:rsidR="008E4492" w:rsidRPr="00A06A10" w:rsidTr="0064350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низатор публичных слушаний</w:t>
            </w:r>
          </w:p>
        </w:tc>
        <w:tc>
          <w:tcPr>
            <w:tcW w:w="3757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Суоярвского муниципального округа</w:t>
            </w:r>
          </w:p>
        </w:tc>
      </w:tr>
      <w:tr w:rsidR="008E4492" w:rsidRPr="00A06A10" w:rsidTr="0064350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уполномоченное на подписание прото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кола, заключения о результатах,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ствующий на публичных слушаниях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контактный телефон для получения дополнительной информации</w:t>
            </w:r>
          </w:p>
        </w:tc>
        <w:tc>
          <w:tcPr>
            <w:tcW w:w="3757" w:type="dxa"/>
          </w:tcPr>
          <w:p w:rsidR="008E4492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Васенина Н.В., председатель Совета Суоярвского муниципального округа.</w:t>
            </w:r>
          </w:p>
          <w:p w:rsidR="005C5CFF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8814(57) 5-18-49</w:t>
            </w:r>
          </w:p>
        </w:tc>
      </w:tr>
      <w:tr w:rsidR="008E4492" w:rsidRPr="00A06A10" w:rsidTr="0064350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оведения публичных слушаний</w:t>
            </w:r>
          </w:p>
        </w:tc>
        <w:tc>
          <w:tcPr>
            <w:tcW w:w="3757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Уставом Суоярвского муниципального округа и Решением Совета Суоярвского муниципального округа №10 от 27.09.2022г.</w:t>
            </w:r>
          </w:p>
        </w:tc>
      </w:tr>
      <w:tr w:rsidR="008E4492" w:rsidRPr="00A06A10" w:rsidTr="0064350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дата открытия и срок пр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оведения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рению на публичных слушаниях</w:t>
            </w:r>
          </w:p>
        </w:tc>
        <w:tc>
          <w:tcPr>
            <w:tcW w:w="3757" w:type="dxa"/>
          </w:tcPr>
          <w:p w:rsidR="003A1674" w:rsidRPr="003A1674" w:rsidRDefault="003B1D9E" w:rsidP="003A16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A1674" w:rsidRPr="003A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33</w:t>
            </w:r>
          </w:p>
          <w:p w:rsidR="008E4492" w:rsidRPr="00A06A10" w:rsidRDefault="003A1674" w:rsidP="003A16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Центральной районной библиотеке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04.05.2023 по 1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5.05.2023г.</w:t>
            </w:r>
          </w:p>
        </w:tc>
      </w:tr>
      <w:tr w:rsidR="008E4492" w:rsidRPr="00A06A10" w:rsidTr="0064350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630" w:type="dxa"/>
          </w:tcPr>
          <w:p w:rsidR="008E4492" w:rsidRPr="00A06A10" w:rsidRDefault="008E4492" w:rsidP="003B1D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и часы, в которые возможно посещение у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казанной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рассмотре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на публичных слушаниях</w:t>
            </w:r>
          </w:p>
        </w:tc>
        <w:tc>
          <w:tcPr>
            <w:tcW w:w="3757" w:type="dxa"/>
          </w:tcPr>
          <w:p w:rsidR="008E4492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</w:t>
            </w:r>
          </w:p>
          <w:p w:rsidR="003B1D9E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09.00-17.00</w:t>
            </w:r>
          </w:p>
          <w:p w:rsidR="003B1D9E" w:rsidRPr="00A06A10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 13.00-14.00</w:t>
            </w:r>
          </w:p>
        </w:tc>
      </w:tr>
      <w:tr w:rsidR="008E4492" w:rsidRPr="00A06A10" w:rsidTr="0064350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внесения участ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слушаний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замечаний и предложений по проекту, подлежащему рассмотрен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3757" w:type="dxa"/>
          </w:tcPr>
          <w:p w:rsidR="008E4492" w:rsidRPr="00A06A10" w:rsidRDefault="00CC391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  <w:r w:rsidR="003B1D9E" w:rsidRP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 по 15.05.2023г.</w:t>
            </w:r>
          </w:p>
        </w:tc>
      </w:tr>
      <w:tr w:rsidR="008E4492" w:rsidRPr="00A06A10" w:rsidTr="0064350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участник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 замечаний и предложений по проекту, подлежащему рассмотрению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</w:t>
            </w:r>
          </w:p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(место, срок, дни и часы приема замечаний и предложений)</w:t>
            </w:r>
          </w:p>
        </w:tc>
        <w:tc>
          <w:tcPr>
            <w:tcW w:w="3757" w:type="dxa"/>
          </w:tcPr>
          <w:p w:rsidR="008E4492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="003A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 w:rsidR="003A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3A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ул.Шельшакова</w:t>
            </w:r>
            <w:proofErr w:type="spellEnd"/>
            <w:r w:rsidR="003A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6, каб.19</w:t>
            </w:r>
          </w:p>
          <w:p w:rsidR="00F772D6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пн-пт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09.00-17.00, перерыв 13.00-14.00</w:t>
            </w:r>
          </w:p>
        </w:tc>
      </w:tr>
      <w:tr w:rsidR="008E4492" w:rsidRPr="00A06A10" w:rsidTr="0064350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внесения участниками общественных обсуждений (публичных слушаний) предложений и замечаний по проекту, подлежащему рассмотрению на общественных обсуждениях или публичных слушаниях</w:t>
            </w:r>
          </w:p>
        </w:tc>
        <w:tc>
          <w:tcPr>
            <w:tcW w:w="3757" w:type="dxa"/>
          </w:tcPr>
          <w:p w:rsidR="008E4492" w:rsidRPr="00A06A10" w:rsidRDefault="00F772D6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решением Совета Суоярвского муниципального округа № 10 от 27.09.2022</w:t>
            </w:r>
          </w:p>
        </w:tc>
      </w:tr>
      <w:tr w:rsidR="008E4492" w:rsidRPr="00A06A10" w:rsidTr="0064350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адрес офи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циального сайта в сети Интернет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 размещаются проект, подлежащий рассмотрению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слушаниях, и материалы к нему</w:t>
            </w:r>
          </w:p>
        </w:tc>
        <w:tc>
          <w:tcPr>
            <w:tcW w:w="3757" w:type="dxa"/>
          </w:tcPr>
          <w:p w:rsidR="00F772D6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Суоярвского муниципального округа-</w:t>
            </w:r>
          </w:p>
          <w:p w:rsidR="008E4492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://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suojarvi.ru/</w:t>
            </w:r>
          </w:p>
        </w:tc>
      </w:tr>
      <w:tr w:rsidR="008E4492" w:rsidRPr="00A06A10" w:rsidTr="0064350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место и время </w:t>
            </w:r>
            <w:proofErr w:type="gramStart"/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 собрания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публичных слушаний</w:t>
            </w:r>
            <w:proofErr w:type="gramEnd"/>
          </w:p>
        </w:tc>
        <w:tc>
          <w:tcPr>
            <w:tcW w:w="3757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мая 2023 года в 17.00 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 г. Суоярви, ул. Ленина, д. 33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ентральной районной библиотеке</w:t>
            </w:r>
          </w:p>
        </w:tc>
      </w:tr>
      <w:tr w:rsidR="008E4492" w:rsidRPr="00A06A10" w:rsidTr="0064350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место и время начала проведения регистрации дл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участия в собрании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 публичных слушаний</w:t>
            </w:r>
          </w:p>
        </w:tc>
        <w:tc>
          <w:tcPr>
            <w:tcW w:w="3757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мая 2023 года в 16.45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адресу:  г. Суоярви, ул. Ленина, д. 33 в Центральной районной библиотеке</w:t>
            </w:r>
          </w:p>
        </w:tc>
      </w:tr>
    </w:tbl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Default="00417231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500" w:rsidRDefault="00643500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500" w:rsidRDefault="00643500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500" w:rsidRDefault="00643500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Х</w:t>
      </w:r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I </w:t>
      </w:r>
      <w:proofErr w:type="spellStart"/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  <w:r w:rsidR="00461697">
        <w:rPr>
          <w:rFonts w:ascii="Times New Roman" w:eastAsia="Times New Roman" w:hAnsi="Times New Roman" w:cs="Times New Roman"/>
          <w:sz w:val="24"/>
          <w:szCs w:val="24"/>
          <w:lang w:eastAsia="ru-RU"/>
        </w:rPr>
        <w:t>№141</w:t>
      </w: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EFE7BDB" wp14:editId="73E25DEB">
            <wp:extent cx="504825" cy="809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E25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РЕСПУБЛИКА  КАРЕЛИЯ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  СУОЯРВСКОГО  МУНИЦИПАЛЬНОГО  ОКРУГА 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0168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сессия                                                                         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созыв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00.00.00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№ ___</w:t>
      </w:r>
    </w:p>
    <w:p w:rsidR="003E3E25" w:rsidRPr="000168E9" w:rsidRDefault="003E3E25" w:rsidP="003E3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r w:rsid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Лоймольского</w:t>
      </w:r>
      <w:r w:rsid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за 2022 год</w:t>
      </w:r>
    </w:p>
    <w:p w:rsid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 статьи 2 Закона РК от 27.05.22 г. № 2710-ЗРК «О преобразовании всех поселений, входящих в состав муниципального образования «</w:t>
      </w:r>
      <w:proofErr w:type="spellStart"/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путем их объединения и наделения вновь образованного муниципального образования статусом муниципального округа», статьей 31 Положения о бюджетном процессе в </w:t>
      </w:r>
      <w:proofErr w:type="spellStart"/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Суоярвском</w:t>
      </w:r>
      <w:proofErr w:type="spellEnd"/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округе, утвержденного решением Совета Суоярвского муниципального округа № 23 от 11.11.2022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</w:p>
    <w:p w:rsidR="00E5621B" w:rsidRP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Совет  Суоярвского  муниципального  округа РЕШИЛ:</w:t>
      </w:r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5621B" w:rsidRP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отчет об исполнении бюджета Лоймольского сельского поселения за 2022 год по доходам в сумме 14 885 375,11 руб., расходам в сумме 15 818 748,60 руб. с дефицитом в сумме 933 373,49 руб. с показателями:</w:t>
      </w:r>
    </w:p>
    <w:p w:rsidR="00E5621B" w:rsidRP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 доходам бюджета Лоймольского сельского поселения за 2022 год по кодам классификации доходов бюджета согласно приложению № 1 к настоящему решению;</w:t>
      </w:r>
    </w:p>
    <w:p w:rsid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 расходам бюджета Лоймольского сельского поселения за 2022 год по ведомственной структуре расходов бюджета согласно прило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жению № 2 к настоящему решению;</w:t>
      </w:r>
    </w:p>
    <w:p w:rsidR="00E5621B" w:rsidRP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расходам бюджета Лоймольского сельского поселения по разделам и подразделам классификации расходов бюджета за 2022 год согласно приложению № 3 к настоящему решению;</w:t>
      </w:r>
    </w:p>
    <w:p w:rsid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P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по источникам финансирования дефицита бюджета Лоймольского сельского поселения за 2022 год по кодам </w:t>
      </w:r>
      <w:proofErr w:type="gramStart"/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источников финансирования дефицита бюджета</w:t>
      </w:r>
      <w:proofErr w:type="gramEnd"/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4 к настоящему решению.</w:t>
      </w:r>
    </w:p>
    <w:p w:rsidR="00E5621B" w:rsidRP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отчет об исполнении бюджетных ассигнований дорожного фонда согласно приложению № 5 к настоящему решению.</w:t>
      </w:r>
    </w:p>
    <w:p w:rsidR="009660FA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    решение   подлежит    официальному    опубликованию     в    районной газете «</w:t>
      </w:r>
      <w:proofErr w:type="spellStart"/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размещению на официальном сайте Суоярвского муниципального округа в сети «Интернет».</w:t>
      </w: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Суоярвского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Васенина Н.В.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0FA" w:rsidRDefault="009660FA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Суоярвского  муниципального округа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 Р.В.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E25" w:rsidRDefault="003E3E25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Pr="00643500" w:rsidRDefault="00643500" w:rsidP="006435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</w:p>
    <w:p w:rsidR="00643500" w:rsidRPr="00643500" w:rsidRDefault="00643500" w:rsidP="006435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Лоймольского сельского поселения, средств дорожного фонда, о численности муниципальных служащих администрации Лоймольского сельского поселения и численности работников подведомственного учреждения за 2022 год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529"/>
        <w:gridCol w:w="1134"/>
        <w:gridCol w:w="1559"/>
        <w:gridCol w:w="1417"/>
      </w:tblGrid>
      <w:tr w:rsidR="00643500" w:rsidRPr="00643500" w:rsidTr="0092705E">
        <w:trPr>
          <w:cantSplit/>
          <w:trHeight w:val="1224"/>
        </w:trPr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529" w:type="dxa"/>
            <w:vAlign w:val="center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на год, </w:t>
            </w: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поступлений </w:t>
            </w: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% </w:t>
            </w: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исполнен</w:t>
            </w: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ия</w:t>
            </w:r>
            <w:proofErr w:type="spell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НДФЛ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635,1</w:t>
            </w:r>
          </w:p>
        </w:tc>
        <w:tc>
          <w:tcPr>
            <w:tcW w:w="155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615,8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97,0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3174,7</w:t>
            </w:r>
          </w:p>
        </w:tc>
        <w:tc>
          <w:tcPr>
            <w:tcW w:w="155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3048,7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2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имущество </w:t>
            </w: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</w:t>
            </w:r>
            <w:proofErr w:type="gram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иц</w:t>
            </w:r>
            <w:proofErr w:type="spellEnd"/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156,2</w:t>
            </w:r>
          </w:p>
        </w:tc>
        <w:tc>
          <w:tcPr>
            <w:tcW w:w="155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156,9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100,4</w:t>
            </w:r>
          </w:p>
        </w:tc>
      </w:tr>
      <w:tr w:rsidR="00643500" w:rsidRPr="00643500" w:rsidTr="0092705E">
        <w:trPr>
          <w:trHeight w:val="132"/>
        </w:trPr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2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Земельный</w:t>
            </w:r>
            <w:proofErr w:type="spell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налог</w:t>
            </w:r>
            <w:proofErr w:type="spellEnd"/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2818,3</w:t>
            </w:r>
          </w:p>
        </w:tc>
        <w:tc>
          <w:tcPr>
            <w:tcW w:w="155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2519,4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89,4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2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2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55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2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55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2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-22,5</w:t>
            </w:r>
          </w:p>
        </w:tc>
        <w:tc>
          <w:tcPr>
            <w:tcW w:w="155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-22,5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1821,0</w:t>
            </w:r>
          </w:p>
        </w:tc>
        <w:tc>
          <w:tcPr>
            <w:tcW w:w="155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1821,0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43500" w:rsidRPr="00643500" w:rsidTr="0092705E">
        <w:trPr>
          <w:trHeight w:val="540"/>
        </w:trPr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2374,7</w:t>
            </w:r>
          </w:p>
        </w:tc>
        <w:tc>
          <w:tcPr>
            <w:tcW w:w="155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2374,7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158,7</w:t>
            </w:r>
          </w:p>
        </w:tc>
        <w:tc>
          <w:tcPr>
            <w:tcW w:w="155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158,7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2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4115,5</w:t>
            </w:r>
          </w:p>
        </w:tc>
        <w:tc>
          <w:tcPr>
            <w:tcW w:w="155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4115,5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118,5</w:t>
            </w:r>
          </w:p>
        </w:tc>
        <w:tc>
          <w:tcPr>
            <w:tcW w:w="155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45,8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15458,2</w:t>
            </w:r>
          </w:p>
        </w:tc>
        <w:tc>
          <w:tcPr>
            <w:tcW w:w="1559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14885,4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96,3</w:t>
            </w:r>
          </w:p>
        </w:tc>
      </w:tr>
    </w:tbl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Pr="00643500" w:rsidRDefault="00643500" w:rsidP="0064350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2022 год поступило доходов 14885,4 тыс. руб., что составляет 96,3% от годового плана. Менее 95% поступления земельного налога, в связи с пересмотром кадастровой стоимости, доходов от использования имущества, в связи с </w:t>
      </w:r>
      <w:proofErr w:type="gram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уплатой</w:t>
      </w:r>
      <w:proofErr w:type="gram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платежей, прочие безвозмездные поступления, по причине не поступления в полном объеме средств юридических и физических лиц по ППМИ.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Сравнительный анализ поступления доходов за 2022, 2022 гг.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1134"/>
        <w:gridCol w:w="1134"/>
        <w:gridCol w:w="1417"/>
      </w:tblGrid>
      <w:tr w:rsidR="00643500" w:rsidRPr="00643500" w:rsidTr="0092705E">
        <w:trPr>
          <w:trHeight w:val="255"/>
        </w:trPr>
        <w:tc>
          <w:tcPr>
            <w:tcW w:w="567" w:type="dxa"/>
            <w:vMerge w:val="restart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954" w:type="dxa"/>
            <w:vMerge w:val="restart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417" w:type="dxa"/>
            <w:vMerge w:val="restart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 снижение</w:t>
            </w:r>
          </w:p>
        </w:tc>
      </w:tr>
      <w:tr w:rsidR="00643500" w:rsidRPr="00643500" w:rsidTr="0092705E">
        <w:trPr>
          <w:cantSplit/>
          <w:trHeight w:val="558"/>
        </w:trPr>
        <w:tc>
          <w:tcPr>
            <w:tcW w:w="567" w:type="dxa"/>
            <w:vMerge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vMerge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г. </w:t>
            </w: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г. </w:t>
            </w: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" w:type="dxa"/>
            <w:vMerge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6619,0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6361,2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-257,8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НДФЛ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544,2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615,8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+71,6</w:t>
            </w:r>
          </w:p>
        </w:tc>
      </w:tr>
      <w:tr w:rsidR="00643500" w:rsidRPr="00643500" w:rsidTr="0092705E">
        <w:trPr>
          <w:trHeight w:val="265"/>
        </w:trPr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5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2493,2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3048,7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+555,5</w:t>
            </w:r>
          </w:p>
        </w:tc>
      </w:tr>
      <w:tr w:rsidR="00643500" w:rsidRPr="00643500" w:rsidTr="0092705E">
        <w:trPr>
          <w:trHeight w:val="253"/>
        </w:trPr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5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-3,5</w:t>
            </w:r>
          </w:p>
        </w:tc>
      </w:tr>
      <w:tr w:rsidR="00643500" w:rsidRPr="00643500" w:rsidTr="0092705E">
        <w:trPr>
          <w:trHeight w:val="253"/>
        </w:trPr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5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имущество </w:t>
            </w: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</w:t>
            </w:r>
            <w:proofErr w:type="gram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иц</w:t>
            </w:r>
            <w:proofErr w:type="spellEnd"/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151,2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156,9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+5,7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5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Земельный</w:t>
            </w:r>
            <w:proofErr w:type="spell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налог</w:t>
            </w:r>
            <w:proofErr w:type="spellEnd"/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3299,1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2519,4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-779,7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5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5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67,6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-52,7</w:t>
            </w:r>
          </w:p>
        </w:tc>
      </w:tr>
      <w:tr w:rsidR="00643500" w:rsidRPr="00643500" w:rsidTr="0092705E">
        <w:trPr>
          <w:trHeight w:val="215"/>
        </w:trPr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95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56,5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-28,5</w:t>
            </w:r>
          </w:p>
        </w:tc>
      </w:tr>
      <w:tr w:rsidR="00643500" w:rsidRPr="00643500" w:rsidTr="0092705E">
        <w:trPr>
          <w:trHeight w:val="215"/>
        </w:trPr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95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-22,5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-26,2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7160,8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8469,9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+1309,1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5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1824,0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1821,0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-3,0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5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1475,6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2374,7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+899,1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595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146,5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158,7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+12,2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5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3714,7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4115,5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+400,8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108,1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54,3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-53,8</w:t>
            </w:r>
          </w:p>
        </w:tc>
      </w:tr>
      <w:tr w:rsidR="00643500" w:rsidRPr="00643500" w:rsidTr="0092705E">
        <w:tc>
          <w:tcPr>
            <w:tcW w:w="56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13887,9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14885,4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+997,5</w:t>
            </w:r>
          </w:p>
        </w:tc>
      </w:tr>
    </w:tbl>
    <w:p w:rsidR="00643500" w:rsidRPr="00643500" w:rsidRDefault="00643500" w:rsidP="0064350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сравнительного анализа видно, что за 2022 год по сравнению с 2021 годом объем налоговых и неналоговых доходов снизился на 257,8 тыс. руб. Наибольший снижение по земельному налогу на 779,7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., что связано с оплатой долгов по решениям о взыскании в 2021 году ООО «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Северлесэкспорт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», в 2022 году такие платежи не поступили и пересмотром кадастровой стоимости.</w:t>
      </w:r>
    </w:p>
    <w:p w:rsidR="00643500" w:rsidRPr="00643500" w:rsidRDefault="00643500" w:rsidP="0064350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доходным источником местного бюджета в 2022 году являлись акцизы – 48% </w:t>
      </w:r>
      <w:proofErr w:type="gram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налоговых и неналоговых, земельный налог – 40% в налоговых и неналоговых доходах.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Сравнительный анализ расходов за 2021, 2022 гг.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244"/>
        <w:gridCol w:w="1276"/>
        <w:gridCol w:w="1276"/>
        <w:gridCol w:w="1417"/>
      </w:tblGrid>
      <w:tr w:rsidR="00643500" w:rsidRPr="00643500" w:rsidTr="0092705E">
        <w:trPr>
          <w:trHeight w:val="272"/>
        </w:trPr>
        <w:tc>
          <w:tcPr>
            <w:tcW w:w="993" w:type="dxa"/>
            <w:vMerge w:val="restart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244" w:type="dxa"/>
            <w:vMerge w:val="restart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417" w:type="dxa"/>
            <w:vMerge w:val="restart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Снижение, увеличение </w:t>
            </w:r>
          </w:p>
        </w:tc>
      </w:tr>
      <w:tr w:rsidR="00643500" w:rsidRPr="00643500" w:rsidTr="0092705E">
        <w:trPr>
          <w:cantSplit/>
          <w:trHeight w:val="488"/>
        </w:trPr>
        <w:tc>
          <w:tcPr>
            <w:tcW w:w="993" w:type="dxa"/>
            <w:vMerge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244" w:type="dxa"/>
            <w:vMerge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2021г. </w:t>
            </w: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2022г. </w:t>
            </w: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" w:type="dxa"/>
            <w:vMerge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3500" w:rsidRPr="00643500" w:rsidTr="0092705E">
        <w:trPr>
          <w:trHeight w:val="289"/>
        </w:trPr>
        <w:tc>
          <w:tcPr>
            <w:tcW w:w="993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</w:t>
            </w:r>
          </w:p>
        </w:tc>
        <w:tc>
          <w:tcPr>
            <w:tcW w:w="524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922,6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987,3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+64,7</w:t>
            </w:r>
          </w:p>
        </w:tc>
      </w:tr>
      <w:tr w:rsidR="00643500" w:rsidRPr="00643500" w:rsidTr="0092705E">
        <w:trPr>
          <w:trHeight w:val="298"/>
        </w:trPr>
        <w:tc>
          <w:tcPr>
            <w:tcW w:w="993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01 04</w:t>
            </w:r>
          </w:p>
        </w:tc>
        <w:tc>
          <w:tcPr>
            <w:tcW w:w="524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884,1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899,2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+15,1</w:t>
            </w:r>
          </w:p>
        </w:tc>
      </w:tr>
      <w:tr w:rsidR="00643500" w:rsidRPr="00643500" w:rsidTr="0092705E">
        <w:trPr>
          <w:trHeight w:val="305"/>
        </w:trPr>
        <w:tc>
          <w:tcPr>
            <w:tcW w:w="993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01 04</w:t>
            </w:r>
          </w:p>
        </w:tc>
        <w:tc>
          <w:tcPr>
            <w:tcW w:w="524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</w:t>
            </w: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</w:t>
            </w:r>
            <w:proofErr w:type="gram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омиссии</w:t>
            </w:r>
            <w:proofErr w:type="spellEnd"/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43500" w:rsidRPr="00643500" w:rsidTr="0092705E">
        <w:trPr>
          <w:trHeight w:val="305"/>
        </w:trPr>
        <w:tc>
          <w:tcPr>
            <w:tcW w:w="993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01 13</w:t>
            </w:r>
          </w:p>
        </w:tc>
        <w:tc>
          <w:tcPr>
            <w:tcW w:w="524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175,8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237,5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+61,7</w:t>
            </w:r>
          </w:p>
        </w:tc>
      </w:tr>
      <w:tr w:rsidR="00643500" w:rsidRPr="00643500" w:rsidTr="0092705E">
        <w:trPr>
          <w:trHeight w:val="305"/>
        </w:trPr>
        <w:tc>
          <w:tcPr>
            <w:tcW w:w="993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02 03</w:t>
            </w:r>
          </w:p>
        </w:tc>
        <w:tc>
          <w:tcPr>
            <w:tcW w:w="524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144,5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156,7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+12,2</w:t>
            </w:r>
          </w:p>
        </w:tc>
      </w:tr>
      <w:tr w:rsidR="00643500" w:rsidRPr="00643500" w:rsidTr="0092705E">
        <w:trPr>
          <w:trHeight w:val="305"/>
        </w:trPr>
        <w:tc>
          <w:tcPr>
            <w:tcW w:w="993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03 14</w:t>
            </w:r>
          </w:p>
        </w:tc>
        <w:tc>
          <w:tcPr>
            <w:tcW w:w="524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36,4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939,2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+902,8</w:t>
            </w:r>
          </w:p>
        </w:tc>
      </w:tr>
      <w:tr w:rsidR="00643500" w:rsidRPr="00643500" w:rsidTr="0092705E">
        <w:trPr>
          <w:trHeight w:val="305"/>
        </w:trPr>
        <w:tc>
          <w:tcPr>
            <w:tcW w:w="993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04 09</w:t>
            </w:r>
          </w:p>
        </w:tc>
        <w:tc>
          <w:tcPr>
            <w:tcW w:w="524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2595,4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3683,2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+1087,8</w:t>
            </w:r>
          </w:p>
        </w:tc>
      </w:tr>
      <w:tr w:rsidR="00643500" w:rsidRPr="00643500" w:rsidTr="0092705E">
        <w:trPr>
          <w:trHeight w:val="305"/>
        </w:trPr>
        <w:tc>
          <w:tcPr>
            <w:tcW w:w="993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04 12</w:t>
            </w:r>
          </w:p>
        </w:tc>
        <w:tc>
          <w:tcPr>
            <w:tcW w:w="524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3146,4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+3146,4</w:t>
            </w:r>
          </w:p>
        </w:tc>
      </w:tr>
      <w:tr w:rsidR="00643500" w:rsidRPr="00643500" w:rsidTr="0092705E">
        <w:trPr>
          <w:trHeight w:val="305"/>
        </w:trPr>
        <w:tc>
          <w:tcPr>
            <w:tcW w:w="993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05 03</w:t>
            </w:r>
          </w:p>
        </w:tc>
        <w:tc>
          <w:tcPr>
            <w:tcW w:w="524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4807,9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2460,8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-2347,1</w:t>
            </w:r>
          </w:p>
        </w:tc>
      </w:tr>
      <w:tr w:rsidR="00643500" w:rsidRPr="00643500" w:rsidTr="0092705E">
        <w:trPr>
          <w:trHeight w:val="305"/>
        </w:trPr>
        <w:tc>
          <w:tcPr>
            <w:tcW w:w="993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08 01</w:t>
            </w:r>
          </w:p>
        </w:tc>
        <w:tc>
          <w:tcPr>
            <w:tcW w:w="524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3481,9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2890,0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-591,9</w:t>
            </w:r>
          </w:p>
        </w:tc>
      </w:tr>
      <w:tr w:rsidR="00643500" w:rsidRPr="00643500" w:rsidTr="0092705E">
        <w:trPr>
          <w:trHeight w:val="154"/>
        </w:trPr>
        <w:tc>
          <w:tcPr>
            <w:tcW w:w="993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10 01</w:t>
            </w:r>
          </w:p>
        </w:tc>
        <w:tc>
          <w:tcPr>
            <w:tcW w:w="524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460,6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-44,2</w:t>
            </w:r>
          </w:p>
        </w:tc>
      </w:tr>
      <w:tr w:rsidR="00643500" w:rsidRPr="00643500" w:rsidTr="0092705E">
        <w:trPr>
          <w:trHeight w:val="154"/>
        </w:trPr>
        <w:tc>
          <w:tcPr>
            <w:tcW w:w="993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24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13511,2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15818,7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+2307,5</w:t>
            </w:r>
          </w:p>
        </w:tc>
      </w:tr>
    </w:tbl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812"/>
        <w:gridCol w:w="1134"/>
        <w:gridCol w:w="1275"/>
        <w:gridCol w:w="1134"/>
      </w:tblGrid>
      <w:tr w:rsidR="00643500" w:rsidRPr="00643500" w:rsidTr="0092705E">
        <w:trPr>
          <w:trHeight w:val="255"/>
        </w:trPr>
        <w:tc>
          <w:tcPr>
            <w:tcW w:w="851" w:type="dxa"/>
            <w:vMerge w:val="restart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ФКР</w:t>
            </w:r>
          </w:p>
        </w:tc>
        <w:tc>
          <w:tcPr>
            <w:tcW w:w="5812" w:type="dxa"/>
            <w:vMerge w:val="restart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Наименование</w:t>
            </w:r>
            <w:proofErr w:type="spell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расхода</w:t>
            </w:r>
          </w:p>
        </w:tc>
        <w:tc>
          <w:tcPr>
            <w:tcW w:w="24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643500" w:rsidRPr="00643500" w:rsidTr="0092705E">
        <w:trPr>
          <w:cantSplit/>
          <w:trHeight w:val="886"/>
        </w:trPr>
        <w:tc>
          <w:tcPr>
            <w:tcW w:w="851" w:type="dxa"/>
            <w:vMerge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812" w:type="dxa"/>
            <w:vMerge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на год, </w:t>
            </w: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расходов</w:t>
            </w: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3500" w:rsidRPr="00643500" w:rsidTr="0092705E">
        <w:tc>
          <w:tcPr>
            <w:tcW w:w="851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</w:t>
            </w:r>
          </w:p>
        </w:tc>
        <w:tc>
          <w:tcPr>
            <w:tcW w:w="581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1018,5</w:t>
            </w:r>
          </w:p>
        </w:tc>
        <w:tc>
          <w:tcPr>
            <w:tcW w:w="1275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987,3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96,9</w:t>
            </w:r>
          </w:p>
        </w:tc>
      </w:tr>
      <w:tr w:rsidR="00643500" w:rsidRPr="00643500" w:rsidTr="0092705E">
        <w:tc>
          <w:tcPr>
            <w:tcW w:w="851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01 04</w:t>
            </w:r>
          </w:p>
        </w:tc>
        <w:tc>
          <w:tcPr>
            <w:tcW w:w="581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1101,1</w:t>
            </w:r>
          </w:p>
        </w:tc>
        <w:tc>
          <w:tcPr>
            <w:tcW w:w="1275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899,2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81,7</w:t>
            </w:r>
          </w:p>
        </w:tc>
      </w:tr>
      <w:tr w:rsidR="00643500" w:rsidRPr="00643500" w:rsidTr="0092705E">
        <w:tc>
          <w:tcPr>
            <w:tcW w:w="851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01 04</w:t>
            </w:r>
          </w:p>
        </w:tc>
        <w:tc>
          <w:tcPr>
            <w:tcW w:w="581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</w:t>
            </w: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</w:t>
            </w:r>
            <w:proofErr w:type="gram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омиссии</w:t>
            </w:r>
            <w:proofErr w:type="spellEnd"/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43500" w:rsidRPr="00643500" w:rsidTr="0092705E">
        <w:tc>
          <w:tcPr>
            <w:tcW w:w="851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01 13</w:t>
            </w:r>
          </w:p>
        </w:tc>
        <w:tc>
          <w:tcPr>
            <w:tcW w:w="581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280,8</w:t>
            </w:r>
          </w:p>
        </w:tc>
        <w:tc>
          <w:tcPr>
            <w:tcW w:w="1275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237,5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151,6</w:t>
            </w:r>
          </w:p>
        </w:tc>
      </w:tr>
      <w:tr w:rsidR="00643500" w:rsidRPr="00643500" w:rsidTr="0092705E">
        <w:tc>
          <w:tcPr>
            <w:tcW w:w="851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02 03</w:t>
            </w:r>
          </w:p>
        </w:tc>
        <w:tc>
          <w:tcPr>
            <w:tcW w:w="581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156,7</w:t>
            </w:r>
          </w:p>
        </w:tc>
        <w:tc>
          <w:tcPr>
            <w:tcW w:w="1275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156,7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43500" w:rsidRPr="00643500" w:rsidTr="0092705E">
        <w:tc>
          <w:tcPr>
            <w:tcW w:w="851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03 14</w:t>
            </w:r>
          </w:p>
        </w:tc>
        <w:tc>
          <w:tcPr>
            <w:tcW w:w="581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1227,5</w:t>
            </w:r>
          </w:p>
        </w:tc>
        <w:tc>
          <w:tcPr>
            <w:tcW w:w="1275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939,2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76,5</w:t>
            </w:r>
          </w:p>
        </w:tc>
      </w:tr>
      <w:tr w:rsidR="00643500" w:rsidRPr="00643500" w:rsidTr="0092705E">
        <w:tc>
          <w:tcPr>
            <w:tcW w:w="851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04 09</w:t>
            </w:r>
          </w:p>
        </w:tc>
        <w:tc>
          <w:tcPr>
            <w:tcW w:w="581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4201,1</w:t>
            </w:r>
          </w:p>
        </w:tc>
        <w:tc>
          <w:tcPr>
            <w:tcW w:w="1275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2595,4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61,8</w:t>
            </w:r>
          </w:p>
        </w:tc>
      </w:tr>
      <w:tr w:rsidR="00643500" w:rsidRPr="00643500" w:rsidTr="0092705E">
        <w:tc>
          <w:tcPr>
            <w:tcW w:w="851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04 12</w:t>
            </w:r>
          </w:p>
        </w:tc>
        <w:tc>
          <w:tcPr>
            <w:tcW w:w="581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3146,4</w:t>
            </w:r>
          </w:p>
        </w:tc>
        <w:tc>
          <w:tcPr>
            <w:tcW w:w="1275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3146,4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43500" w:rsidRPr="00643500" w:rsidTr="0092705E">
        <w:tc>
          <w:tcPr>
            <w:tcW w:w="851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05 03</w:t>
            </w:r>
          </w:p>
        </w:tc>
        <w:tc>
          <w:tcPr>
            <w:tcW w:w="581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2460,8</w:t>
            </w:r>
          </w:p>
        </w:tc>
        <w:tc>
          <w:tcPr>
            <w:tcW w:w="1275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2460,8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43500" w:rsidRPr="00643500" w:rsidTr="0092705E">
        <w:tc>
          <w:tcPr>
            <w:tcW w:w="851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08 01</w:t>
            </w:r>
          </w:p>
        </w:tc>
        <w:tc>
          <w:tcPr>
            <w:tcW w:w="581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3032,4</w:t>
            </w:r>
          </w:p>
        </w:tc>
        <w:tc>
          <w:tcPr>
            <w:tcW w:w="1275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2890,0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95,3</w:t>
            </w:r>
          </w:p>
        </w:tc>
      </w:tr>
      <w:tr w:rsidR="00643500" w:rsidRPr="00643500" w:rsidTr="0092705E">
        <w:tc>
          <w:tcPr>
            <w:tcW w:w="851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10 01</w:t>
            </w:r>
          </w:p>
        </w:tc>
        <w:tc>
          <w:tcPr>
            <w:tcW w:w="581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510,9</w:t>
            </w:r>
          </w:p>
        </w:tc>
        <w:tc>
          <w:tcPr>
            <w:tcW w:w="1275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81,5</w:t>
            </w:r>
          </w:p>
        </w:tc>
      </w:tr>
      <w:tr w:rsidR="00643500" w:rsidRPr="00643500" w:rsidTr="0092705E">
        <w:trPr>
          <w:trHeight w:val="114"/>
        </w:trPr>
        <w:tc>
          <w:tcPr>
            <w:tcW w:w="851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81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17138,2</w:t>
            </w:r>
          </w:p>
        </w:tc>
        <w:tc>
          <w:tcPr>
            <w:tcW w:w="1275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15818,7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92,3</w:t>
            </w:r>
          </w:p>
        </w:tc>
      </w:tr>
    </w:tbl>
    <w:p w:rsidR="00643500" w:rsidRPr="00643500" w:rsidRDefault="00643500" w:rsidP="0064350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за 2022 год составили 15 818,7 тыс. руб., что составляет 92,3% от годового плана, менее 95 % расходы на функционирование администрации, другие вопросы в области национальной безопасности и правоохранительной деятельности, дорожное хозяйство, социальная политика, в связи с отсутствием подтверждающих документов на оплату. </w:t>
      </w:r>
    </w:p>
    <w:p w:rsidR="00643500" w:rsidRPr="00643500" w:rsidRDefault="00643500" w:rsidP="0064350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общегосударственные вопросы затраты составили 2126,0 тыс. руб., в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</w:p>
    <w:p w:rsidR="00643500" w:rsidRPr="00643500" w:rsidRDefault="00643500" w:rsidP="0064350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расходы на функционирование высшего должностного лица муниципального образования составили 987,3 тыс. руб., </w:t>
      </w:r>
    </w:p>
    <w:p w:rsidR="00643500" w:rsidRPr="00643500" w:rsidRDefault="00643500" w:rsidP="0064350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на функционирование местной администрации составили 899,2 тыс. руб., в том числе на выплату заработной платы, начисления по оплате труда (страховые взносы), услуги связи, оплата электроэнергии, оплата страхования гражданской ответственности владельцев транспортных средств, оплата транспортного налога и налога на имущество; вывоз ТКО.</w:t>
      </w:r>
    </w:p>
    <w:p w:rsidR="00643500" w:rsidRPr="00643500" w:rsidRDefault="00643500" w:rsidP="0064350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расходы по обеспечению деятельности административной комиссии в сумме 2,0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канцелярские товары.</w:t>
      </w:r>
    </w:p>
    <w:p w:rsidR="00643500" w:rsidRPr="00643500" w:rsidRDefault="00643500" w:rsidP="0064350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другие общегосударственные расходы составили 237,5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права использования СБИС и обслуживание программ 33,6 тыс. руб., взносы в фонд кап. ремонта 1,4 тыс. руб., составление сметы 61,0 тыс. руб., определение поставщиков 16,0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оценка рыночной стоимости муниципального имущества 50,0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исполнительный лист 75,5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500" w:rsidRPr="00643500" w:rsidRDefault="00643500" w:rsidP="0064350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 национальная оборона расходы на осуществление первичного воинского учета на территориях, где отсутствуют военные комиссариаты (заработная плата, начисления на оплату труда) - 156,7 тыс. руб.</w:t>
      </w:r>
    </w:p>
    <w:p w:rsidR="00643500" w:rsidRPr="00643500" w:rsidRDefault="00643500" w:rsidP="0064350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национальная безопасность и правоохранительная деятельность расходы составили 939,2 тыс. руб., в том числе текущий ремонт пожарного водоема в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ийтсиёки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п. Суйстамо, приобретение знаков "Пожарный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водоисточник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", "Пожарный гидрант».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разделу национальная экономика составляют 5741,8 тыс. руб., из них: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на дорожное хозяйство (содержание дорог) – 2665,7 тыс. руб.;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на электроэнергию (освещение дорог местного значения) – 417,5 тыс. руб.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проектно-сметная документация на снос аварийных объектов за счет средств ИМБТ из бюджета Республики Карелия – 104,0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проектно-сметная документация моста за счет средств субсидии местным бюджетам на реализацию мероприятий государственной программы Республики Карелия "Развитие транспортной системы" в сумме 599,99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снос здания бани в сумме 2570,0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снос здания котельной в сумме 291,2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снос многоквартирного дома в сумме 181,2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счет иных межбюджетных трансфертов из бюджета Республики Карелия в сумме 3042,4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благоустройство оставили 2460,8 тыс. руб., в том числе: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устройство площадки с уличными тренажерами 1437,8 за счет средств субсидии на поддержку местных инициатив граждан,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местного бюджета 171,4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за счет средств юридических лиц 50,0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за счет средств физических лиц 54,5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утилизация деревьев и кустарников в сумме 60,0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текущий ремонт уличного освещения в сумме 140,0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 счет средств иного межбюджетного трансферта на содействие решению вопросов, направленных в государственной информационной системе "Активный гражданин Республики Карелия"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доставка и установка садовой скамьи в сумме 10,8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изготовление домовых знаков в сумме 21,6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очистка родника, устройство колодца в сумме 256,7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счет средств иных межбюджетных трансфертов на поддержку развития территориального общественного самоуправления; за счет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местного бюджета 31,0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расходы за счет средств местного бюджета в сумме 227,0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 том числе содержание мест захоронения в сумме 7,0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свод аварийных деревьев в сумме 220,0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культуру составили 2890,0 тыс. руб., из них: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– расходы на коммунальные услуги – 657,6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– 1 811,3 тыс. руб.;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субсидия бюджетам муниципальных образований на реализацию мероприятий государственной программы Республики Карелия "Развитие культуры</w:t>
      </w:r>
      <w:proofErr w:type="gram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"(</w:t>
      </w:r>
      <w:proofErr w:type="gram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частичную компенсацию дополнительных расходов на повышение оплаты труда работников муниципальных учреждений культуры) – 336,9 тыс. руб.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6435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proofErr w:type="gram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офинансирование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РК "Развитие культуры", связанная с поэтапным достижением целевых значений средней заработной платы отдельных категорий работников бюджетной сферы – 84,2 тыс. руб.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Расходы на социальную политику – 416,4 тыс. руб. (доплата к пенсии муниципальным служащим).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бюджета Лоймольского сельского поселения составил 933,3 тыс. рублей.  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Штатная численность Администрации Лоймольского сельского поселения на 01.01.2023 г. составляет 5 человек. Фактическая численность – 4 человека, в том числе выборная должность – 1, муниципальные служащие – 1. Фактические затраты на оплату труда составляют 1415,8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Штатная численность работников МБУ "Социально-культурный центр "Досуг" на 01.01.2023 г. составляет 4,6 единицы. Фактическая численность – 4,2 единицы. Фактические затраты на оплату труда работников муниципального учреждения составляют 1760,7 тыс. руб.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Default="00643500" w:rsidP="0064350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Default="00643500" w:rsidP="0064350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Default="00643500" w:rsidP="0064350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Default="00643500" w:rsidP="0064350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Default="00643500" w:rsidP="0064350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Default="00643500" w:rsidP="0064350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Default="00643500" w:rsidP="0064350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Default="00643500" w:rsidP="0064350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Default="00643500" w:rsidP="0064350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Pr="00643500" w:rsidRDefault="00643500" w:rsidP="0064350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</w:p>
    <w:p w:rsidR="00643500" w:rsidRPr="00643500" w:rsidRDefault="00643500" w:rsidP="0064350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бюджетных ассигнований дорожного фонда Лоймольского сельского поселения за 2022 год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677"/>
        <w:gridCol w:w="1418"/>
        <w:gridCol w:w="1276"/>
        <w:gridCol w:w="1134"/>
        <w:gridCol w:w="992"/>
      </w:tblGrid>
      <w:tr w:rsidR="00643500" w:rsidRPr="00643500" w:rsidTr="00643500">
        <w:trPr>
          <w:cantSplit/>
          <w:trHeight w:val="1134"/>
        </w:trPr>
        <w:tc>
          <w:tcPr>
            <w:tcW w:w="42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677" w:type="dxa"/>
            <w:vAlign w:val="center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418" w:type="dxa"/>
            <w:vAlign w:val="center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поступлений за 2021 г. </w:t>
            </w: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на 2022 год, 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поступлений за 2022 г. </w:t>
            </w: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 от плановых назначений</w:t>
            </w:r>
          </w:p>
        </w:tc>
      </w:tr>
      <w:tr w:rsidR="00643500" w:rsidRPr="00643500" w:rsidTr="00643500">
        <w:tc>
          <w:tcPr>
            <w:tcW w:w="42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</w:t>
            </w:r>
          </w:p>
        </w:tc>
        <w:tc>
          <w:tcPr>
            <w:tcW w:w="1418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1150,99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1660,43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1528,33</w:t>
            </w:r>
          </w:p>
        </w:tc>
        <w:tc>
          <w:tcPr>
            <w:tcW w:w="99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</w:tr>
      <w:tr w:rsidR="00643500" w:rsidRPr="00643500" w:rsidTr="00643500">
        <w:tc>
          <w:tcPr>
            <w:tcW w:w="42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</w:t>
            </w:r>
          </w:p>
        </w:tc>
        <w:tc>
          <w:tcPr>
            <w:tcW w:w="1418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8,09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8,26</w:t>
            </w:r>
          </w:p>
        </w:tc>
        <w:tc>
          <w:tcPr>
            <w:tcW w:w="99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643500" w:rsidRPr="00643500" w:rsidTr="00643500">
        <w:tc>
          <w:tcPr>
            <w:tcW w:w="42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</w:t>
            </w:r>
          </w:p>
        </w:tc>
        <w:tc>
          <w:tcPr>
            <w:tcW w:w="1418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1530,35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1686,00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1687,45</w:t>
            </w:r>
          </w:p>
        </w:tc>
        <w:tc>
          <w:tcPr>
            <w:tcW w:w="99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</w:tr>
      <w:tr w:rsidR="00643500" w:rsidRPr="00643500" w:rsidTr="00643500">
        <w:tc>
          <w:tcPr>
            <w:tcW w:w="42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</w:t>
            </w:r>
          </w:p>
        </w:tc>
        <w:tc>
          <w:tcPr>
            <w:tcW w:w="1418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-196,27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-180,00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-175,34</w:t>
            </w:r>
          </w:p>
        </w:tc>
        <w:tc>
          <w:tcPr>
            <w:tcW w:w="99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97,4</w:t>
            </w:r>
          </w:p>
        </w:tc>
      </w:tr>
      <w:tr w:rsidR="00643500" w:rsidRPr="00643500" w:rsidTr="00643500">
        <w:tc>
          <w:tcPr>
            <w:tcW w:w="42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акцизы</w:t>
            </w:r>
          </w:p>
        </w:tc>
        <w:tc>
          <w:tcPr>
            <w:tcW w:w="1418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2493,16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3174,73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3048,69</w:t>
            </w:r>
          </w:p>
        </w:tc>
        <w:tc>
          <w:tcPr>
            <w:tcW w:w="99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96,0</w:t>
            </w:r>
          </w:p>
        </w:tc>
      </w:tr>
      <w:tr w:rsidR="00643500" w:rsidRPr="00643500" w:rsidTr="00643500">
        <w:tc>
          <w:tcPr>
            <w:tcW w:w="42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налоговых и неналоговых доходов</w:t>
            </w:r>
          </w:p>
        </w:tc>
        <w:tc>
          <w:tcPr>
            <w:tcW w:w="1418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426,38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3500" w:rsidRPr="00643500" w:rsidTr="00643500">
        <w:tc>
          <w:tcPr>
            <w:tcW w:w="42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поддержку ТОС</w:t>
            </w:r>
          </w:p>
        </w:tc>
        <w:tc>
          <w:tcPr>
            <w:tcW w:w="1418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356,95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3500" w:rsidRPr="00643500" w:rsidTr="00643500">
        <w:tc>
          <w:tcPr>
            <w:tcW w:w="42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Субсидия из бюджета РК на реализацию мероприятий государственной программы Республики Карелия "Развитие транспортной системы" </w:t>
            </w:r>
          </w:p>
        </w:tc>
        <w:tc>
          <w:tcPr>
            <w:tcW w:w="1418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599,99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599,99</w:t>
            </w:r>
          </w:p>
        </w:tc>
        <w:tc>
          <w:tcPr>
            <w:tcW w:w="99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43500" w:rsidRPr="00643500" w:rsidTr="00643500">
        <w:tc>
          <w:tcPr>
            <w:tcW w:w="42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18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2850,11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4201,1</w:t>
            </w:r>
          </w:p>
        </w:tc>
        <w:tc>
          <w:tcPr>
            <w:tcW w:w="1134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3648,68</w:t>
            </w:r>
          </w:p>
        </w:tc>
        <w:tc>
          <w:tcPr>
            <w:tcW w:w="992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87</w:t>
            </w:r>
          </w:p>
        </w:tc>
      </w:tr>
    </w:tbl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за 2022 год в дорожный фонд Лоймольского сельского поселения поступило 3 648,7 тыс. руб. или 87% от годового плана, поступление акцизов составило 3 048,69 тыс. руб. или 96,0% от плановых назначений на 2022 год. 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35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РАСХОДЫ: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677"/>
        <w:gridCol w:w="1418"/>
        <w:gridCol w:w="1276"/>
        <w:gridCol w:w="1417"/>
        <w:gridCol w:w="851"/>
      </w:tblGrid>
      <w:tr w:rsidR="00643500" w:rsidRPr="00643500" w:rsidTr="0092705E">
        <w:trPr>
          <w:cantSplit/>
          <w:trHeight w:val="1134"/>
        </w:trPr>
        <w:tc>
          <w:tcPr>
            <w:tcW w:w="42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vAlign w:val="center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418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расхода за 2021 г.</w:t>
            </w: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на 2022 год, </w:t>
            </w: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расхода за 2022 г.</w:t>
            </w:r>
          </w:p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%</w:t>
            </w: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исполнен</w:t>
            </w: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ия</w:t>
            </w:r>
            <w:proofErr w:type="spellEnd"/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 плановых назначений</w:t>
            </w:r>
          </w:p>
        </w:tc>
      </w:tr>
      <w:tr w:rsidR="00643500" w:rsidRPr="00643500" w:rsidTr="0092705E">
        <w:tc>
          <w:tcPr>
            <w:tcW w:w="42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дорог   </w:t>
            </w:r>
          </w:p>
        </w:tc>
        <w:tc>
          <w:tcPr>
            <w:tcW w:w="1418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2595,35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4201,1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3083,18</w:t>
            </w:r>
          </w:p>
        </w:tc>
        <w:tc>
          <w:tcPr>
            <w:tcW w:w="851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85,6</w:t>
            </w:r>
          </w:p>
        </w:tc>
      </w:tr>
      <w:tr w:rsidR="00643500" w:rsidRPr="00643500" w:rsidTr="0092705E">
        <w:tc>
          <w:tcPr>
            <w:tcW w:w="42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ВСЕГО:</w:t>
            </w:r>
          </w:p>
        </w:tc>
        <w:tc>
          <w:tcPr>
            <w:tcW w:w="1418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2595,35</w:t>
            </w:r>
          </w:p>
        </w:tc>
        <w:tc>
          <w:tcPr>
            <w:tcW w:w="1276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4201,1</w:t>
            </w:r>
          </w:p>
        </w:tc>
        <w:tc>
          <w:tcPr>
            <w:tcW w:w="1417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3083,18</w:t>
            </w:r>
          </w:p>
        </w:tc>
        <w:tc>
          <w:tcPr>
            <w:tcW w:w="851" w:type="dxa"/>
          </w:tcPr>
          <w:p w:rsidR="00643500" w:rsidRPr="00643500" w:rsidRDefault="00643500" w:rsidP="0064350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35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85,6</w:t>
            </w:r>
          </w:p>
        </w:tc>
      </w:tr>
    </w:tbl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из дорожного фонда израсходовано на содержание дорог 3 083,18 тыс. руб., из них за счет субсидии из бюджета РК на реализацию мероприятий государственной программы Республики Карелия "Развитие транспортной системы" в сумме 599,99 </w:t>
      </w:r>
      <w:proofErr w:type="spell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4350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разработку проектно-сметной документации на ремонт моста.</w:t>
      </w: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00" w:rsidRPr="00643500" w:rsidRDefault="00643500" w:rsidP="0064350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43500" w:rsidRPr="00643500" w:rsidSect="008E449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E2D" w:rsidRDefault="00693E2D" w:rsidP="003E3E25">
      <w:pPr>
        <w:spacing w:after="0" w:line="240" w:lineRule="auto"/>
      </w:pPr>
      <w:r>
        <w:separator/>
      </w:r>
    </w:p>
  </w:endnote>
  <w:endnote w:type="continuationSeparator" w:id="0">
    <w:p w:rsidR="00693E2D" w:rsidRDefault="00693E2D" w:rsidP="003E3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E2D" w:rsidRDefault="00693E2D" w:rsidP="003E3E25">
      <w:pPr>
        <w:spacing w:after="0" w:line="240" w:lineRule="auto"/>
      </w:pPr>
      <w:r>
        <w:separator/>
      </w:r>
    </w:p>
  </w:footnote>
  <w:footnote w:type="continuationSeparator" w:id="0">
    <w:p w:rsidR="00693E2D" w:rsidRDefault="00693E2D" w:rsidP="003E3E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666"/>
    <w:rsid w:val="000168E9"/>
    <w:rsid w:val="00090A75"/>
    <w:rsid w:val="000955CA"/>
    <w:rsid w:val="000B4205"/>
    <w:rsid w:val="001F10CE"/>
    <w:rsid w:val="00327724"/>
    <w:rsid w:val="003A1674"/>
    <w:rsid w:val="003B1D9E"/>
    <w:rsid w:val="003E3E25"/>
    <w:rsid w:val="00417231"/>
    <w:rsid w:val="00461697"/>
    <w:rsid w:val="004730CD"/>
    <w:rsid w:val="00507F00"/>
    <w:rsid w:val="005C318E"/>
    <w:rsid w:val="005C5CF9"/>
    <w:rsid w:val="005C5CFF"/>
    <w:rsid w:val="00643500"/>
    <w:rsid w:val="00693E2D"/>
    <w:rsid w:val="00750757"/>
    <w:rsid w:val="008151B9"/>
    <w:rsid w:val="008C49FE"/>
    <w:rsid w:val="008E4492"/>
    <w:rsid w:val="008F17CD"/>
    <w:rsid w:val="008F3EDB"/>
    <w:rsid w:val="009230D9"/>
    <w:rsid w:val="009660FA"/>
    <w:rsid w:val="009B54DB"/>
    <w:rsid w:val="009C27BA"/>
    <w:rsid w:val="00B97845"/>
    <w:rsid w:val="00C11C64"/>
    <w:rsid w:val="00CC3912"/>
    <w:rsid w:val="00D31A64"/>
    <w:rsid w:val="00DA28C6"/>
    <w:rsid w:val="00DC07E4"/>
    <w:rsid w:val="00DC5DFF"/>
    <w:rsid w:val="00E12666"/>
    <w:rsid w:val="00E5621B"/>
    <w:rsid w:val="00E56855"/>
    <w:rsid w:val="00E940BE"/>
    <w:rsid w:val="00F32DF6"/>
    <w:rsid w:val="00F7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5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89989-12DA-4534-AF8F-33E3159B0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3165</Words>
  <Characters>18047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Хлопкина М С</dc:creator>
  <cp:lastModifiedBy>Хлопкина М С</cp:lastModifiedBy>
  <cp:revision>4</cp:revision>
  <cp:lastPrinted>2023-04-24T08:52:00Z</cp:lastPrinted>
  <dcterms:created xsi:type="dcterms:W3CDTF">2023-04-26T07:47:00Z</dcterms:created>
  <dcterms:modified xsi:type="dcterms:W3CDTF">2023-04-28T13:45:00Z</dcterms:modified>
</cp:coreProperties>
</file>