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9D4B5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D4B5F" w:rsidRDefault="00730B1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B5F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4B5F" w:rsidRDefault="00AF1971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&lt;Письмо&gt; Минтруда России от 12.02.2024 N 28-7/10/В-2237</w:t>
            </w:r>
            <w:r>
              <w:rPr>
                <w:sz w:val="42"/>
                <w:szCs w:val="42"/>
              </w:rPr>
              <w:br/>
              <w:t>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год)&gt;</w:t>
            </w:r>
            <w:r>
              <w:rPr>
                <w:sz w:val="42"/>
                <w:szCs w:val="42"/>
              </w:rPr>
              <w:br/>
              <w:t>(вместе с "Основными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год)")</w:t>
            </w:r>
          </w:p>
        </w:tc>
      </w:tr>
      <w:tr w:rsidR="009D4B5F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4B5F" w:rsidRDefault="00AF197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15.02.2024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D4B5F" w:rsidRDefault="009D4B5F">
      <w:pPr>
        <w:pStyle w:val="ConsPlusNormal"/>
        <w:rPr>
          <w:rFonts w:ascii="Tahoma" w:hAnsi="Tahoma" w:cs="Tahoma"/>
          <w:sz w:val="28"/>
          <w:szCs w:val="28"/>
        </w:rPr>
        <w:sectPr w:rsidR="009D4B5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D4B5F" w:rsidRDefault="009D4B5F">
      <w:pPr>
        <w:pStyle w:val="ConsPlusNormal"/>
        <w:jc w:val="both"/>
        <w:outlineLvl w:val="0"/>
      </w:pPr>
    </w:p>
    <w:p w:rsidR="009D4B5F" w:rsidRDefault="00AF1971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9D4B5F" w:rsidRDefault="009D4B5F">
      <w:pPr>
        <w:pStyle w:val="ConsPlusTitle"/>
        <w:jc w:val="center"/>
      </w:pPr>
    </w:p>
    <w:p w:rsidR="009D4B5F" w:rsidRDefault="00AF1971">
      <w:pPr>
        <w:pStyle w:val="ConsPlusTitle"/>
        <w:jc w:val="center"/>
      </w:pPr>
      <w:r>
        <w:t>ПИСЬМО</w:t>
      </w:r>
    </w:p>
    <w:p w:rsidR="009D4B5F" w:rsidRDefault="00AF1971">
      <w:pPr>
        <w:pStyle w:val="ConsPlusTitle"/>
        <w:jc w:val="center"/>
      </w:pPr>
      <w:r>
        <w:t>от 12 февраля 2024 г. N 28-7/10/В-2237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ind w:firstLine="540"/>
        <w:jc w:val="both"/>
      </w:pPr>
      <w:r>
        <w:t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сведения) в 2024 году (за отчетный 2023 год) размещены на официальном сайте Минтруда России в информационно-телекоммуникационной сети "Интернет" в подразделе "Представление сведений о доходах, расходах, об имуществе и обязательствах имущественного характера" раздела "Деятельность/Государственное управление/Политика в сфере противодействия коррупции/Методические материалы по вопросам противодействия коррупции" и доступны для скачивания и ознакомления по ссылке: https://fexch.mintrud.gov.ru/s/PSaecEPzBi368YH, а также в ближайшее время будут размещены по ссылке: https://mintrud.gov.ru/ministry/programms/anticorruption/9/5.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Размещение Методических рекомендаций за отчетный 2023 год в формате .</w:t>
      </w:r>
      <w:proofErr w:type="spellStart"/>
      <w:r>
        <w:t>pdf</w:t>
      </w:r>
      <w:proofErr w:type="spellEnd"/>
      <w:r>
        <w:t xml:space="preserve"> планируется также по указанным ссылкам.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 xml:space="preserve">Дополнительно направляем основные </w:t>
      </w:r>
      <w:hyperlink w:anchor="Par33" w:tooltip="ОСНОВНЫЕ НОВЕЛЛЫ" w:history="1">
        <w:r>
          <w:rPr>
            <w:color w:val="0000FF"/>
          </w:rPr>
          <w:t>новеллы</w:t>
        </w:r>
      </w:hyperlink>
      <w:r>
        <w:t>, на которые следует обратить внимание при использовании Методических рекомендаций за отчетный 2023 год (прилагаются).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Отмечаем, что Методические рекомендации за отчетный 2022 год, направленные письмом Минтруда России от 30 декабря 2022 г. N 28-6/10/В-18597, подлежали использованию только в отношении сведений, представляемых в ходе декларационной кампании 2023 года.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Просим довести положения Методических рекомендаций за отчетный 2023 год до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Дополнительно сообщаем, что Минтрудом России планируется проведение совещания с использованием видеоконференцсвязи с должностными лицами, ответственными за работу по профилактике коррупционных и иных правонарушений (далее - должностные лица), по вопросам применения Методических рекомендаций за отчетный 2023 год: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28 февраля 2024 г. в 10:00 по московскому времени - с должностными лицами центральных аппаратов федеральных государственных органов и организаций, ответственными за работу по профилактике коррупционных и иных правонарушений;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 xml:space="preserve">29 февраля 2024 г. в 10:00 по московскому времени - с должностными лицами органов субъектов Российской Федерации по профилактике коррупционных и иных правонарушений, </w:t>
      </w:r>
      <w:r>
        <w:lastRenderedPageBreak/>
        <w:t>образованных с учетом положений Указа Президента Российской Федерации от 15 июля 2015 г. N 364 "О мерах по совершенствованию организации деятельности в области противодействия коррупции".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В целях подготовки к совещанию просим в срок до 20 февраля 2024 г. заполнить форму, размещенную в информационно-телекоммуникационной сети "Интернет" по ссылке: https://forms.yandex.ru/u/65b781985056900e4137e96f/.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Обращаем внимание, что на совещании планируется преимущественно рассматривать вопросы, поступившие в рамках заполнения указанной формы.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Учитывая ограничения, предусмотренные применяемой Минтрудом России платформой, количество подключений от одного государственного органа (организации) ограничено 1 (одним) подключением.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Также не представляется возможным подключить к указанным совещаниям представителей территориальных органов государственных органов, иных органов исполнительной власти субъектов Российской Федерации (за исключением обозначенных выше), органов местного самоуправления и организаций, которые не являются адресатами настоящего письма.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Вместе с тем планируется осуществить запись трансляций совещаний для их последующего распространения.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В связи с этим представители органов публичной власти и организаций, которые не смогут принять участие в совещаниях в связи с обозначенными ограничениями, могут заполнить форму и оставить свои вопросы для получения надлежащих ответов в рамках совещаний и рабочего взаимодействия, а также для последующего получения записи мероприятий.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Контактными лицами от Минтруда России определены: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 xml:space="preserve">- </w:t>
      </w:r>
      <w:proofErr w:type="spellStart"/>
      <w:r>
        <w:t>Боченина</w:t>
      </w:r>
      <w:proofErr w:type="spellEnd"/>
      <w:r>
        <w:t xml:space="preserve"> Алина Александровна, раб. тел.: 8 (495) 587-88-89, доб.: 2871; эл. почта: Bochenina_AA@mintrud.gov.ru;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- Агапова Юлия Сергеевна, раб. тел.: 8 (495) 587-88-89, доб.: 2862; эл. почта: Agapova_IuS@mintrud.gov.ru;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- Кремнев Даниил Сергеевич, раб. тел.: 8 (495) 587-88-89, доб.: 2879; эл. почта: Kremnev_DS@mintrud.gov.ru.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jc w:val="right"/>
      </w:pPr>
      <w:r>
        <w:t>М.С.АБДУЛХАЛИМОВ</w:t>
      </w: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jc w:val="right"/>
        <w:outlineLvl w:val="0"/>
      </w:pPr>
      <w:r>
        <w:t>Приложение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Title"/>
        <w:jc w:val="center"/>
      </w:pPr>
      <w:bookmarkStart w:id="1" w:name="Par33"/>
      <w:bookmarkEnd w:id="1"/>
      <w:r>
        <w:t>ОСНОВНЫЕ НОВЕЛЛЫ</w:t>
      </w:r>
    </w:p>
    <w:p w:rsidR="009D4B5F" w:rsidRDefault="00AF1971">
      <w:pPr>
        <w:pStyle w:val="ConsPlusTitle"/>
        <w:jc w:val="center"/>
      </w:pPr>
      <w:r>
        <w:lastRenderedPageBreak/>
        <w:t>В МЕТОДИЧЕСКИХ РЕКОМЕНДАЦИЯХ ПО ВОПРОСАМ ПРЕДСТАВЛЕНИЯ</w:t>
      </w:r>
    </w:p>
    <w:p w:rsidR="009D4B5F" w:rsidRDefault="00AF1971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D4B5F" w:rsidRDefault="00AF1971">
      <w:pPr>
        <w:pStyle w:val="ConsPlusTitle"/>
        <w:jc w:val="center"/>
      </w:pPr>
      <w:r>
        <w:t>ИМУЩЕСТВЕННОГО ХАРАКТЕРА И ЗАПОЛНЕНИЯ СООТВЕТСТВУЮЩЕЙ</w:t>
      </w:r>
    </w:p>
    <w:p w:rsidR="009D4B5F" w:rsidRDefault="00AF1971">
      <w:pPr>
        <w:pStyle w:val="ConsPlusTitle"/>
        <w:jc w:val="center"/>
      </w:pPr>
      <w:r>
        <w:t>ФОРМЫ СПРАВКИ В 2024 ГОДУ (ЗА ОТЧЕТНЫЙ 2023 ГОД)</w:t>
      </w:r>
    </w:p>
    <w:p w:rsidR="009D4B5F" w:rsidRDefault="009D4B5F">
      <w:pPr>
        <w:pStyle w:val="ConsPlusNormal"/>
        <w:ind w:firstLine="540"/>
        <w:jc w:val="both"/>
      </w:pPr>
    </w:p>
    <w:p w:rsidR="009D4B5F" w:rsidRDefault="00AF1971">
      <w:pPr>
        <w:pStyle w:val="ConsPlusNormal"/>
        <w:ind w:firstLine="540"/>
        <w:jc w:val="both"/>
      </w:pPr>
      <w: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1. Отражены особенности, связанные с положениями Федерального закона от 6 февраля 2023 г.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N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N 61 "О федеральном кадровом резерве на государственной гражданской службе Российской Федерации".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(https://mintrud.gov.ru/ministry/programms/anticorruption/9/23),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(https://mintrud.gov.ru/ministry/programms/anticorruption/9/24).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(далее - справка).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lastRenderedPageBreak/>
        <w:t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5. Предусмотрено допустимое отражение информации о должностях супругов, замещающих должности военной службы.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 xml:space="preserve">7. Отмечено, что не подлежат отражению в справке сведения, содержащиеся в информации, полученной в рамках Указания Банка России от 27 мая 2021 г. N 5798-У "О порядке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8. 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10. Определены особенности отражения счета цифрового рубля.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11. 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N 71 "О внесении изменений в некоторые акты Президента Российской Федерации".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12. Указано на отсутствие необходимости отражать в разделе 4 справки электронные средства платежа.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13. 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9D4B5F" w:rsidRDefault="00AF1971">
      <w:pPr>
        <w:pStyle w:val="ConsPlusNormal"/>
        <w:spacing w:before="240"/>
        <w:ind w:firstLine="540"/>
        <w:jc w:val="both"/>
      </w:pPr>
      <w:r>
        <w:t>14. Актуализированы иные положения с учетом изменений нормативных правовых актов Российской Федерации.</w:t>
      </w:r>
    </w:p>
    <w:p w:rsidR="009D4B5F" w:rsidRDefault="009D4B5F">
      <w:pPr>
        <w:pStyle w:val="ConsPlusNormal"/>
        <w:jc w:val="both"/>
      </w:pPr>
    </w:p>
    <w:p w:rsidR="009D4B5F" w:rsidRDefault="009D4B5F">
      <w:pPr>
        <w:pStyle w:val="ConsPlusNormal"/>
        <w:jc w:val="both"/>
      </w:pPr>
    </w:p>
    <w:p w:rsidR="00AF1971" w:rsidRDefault="00AF19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197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78" w:rsidRDefault="00450C78">
      <w:pPr>
        <w:spacing w:after="0" w:line="240" w:lineRule="auto"/>
      </w:pPr>
      <w:r>
        <w:separator/>
      </w:r>
    </w:p>
  </w:endnote>
  <w:endnote w:type="continuationSeparator" w:id="0">
    <w:p w:rsidR="00450C78" w:rsidRDefault="0045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B5F" w:rsidRDefault="009D4B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D4B5F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450C7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F197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2EAC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2EAC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9D4B5F" w:rsidRDefault="009D4B5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78" w:rsidRDefault="00450C78">
      <w:pPr>
        <w:spacing w:after="0" w:line="240" w:lineRule="auto"/>
      </w:pPr>
      <w:r>
        <w:separator/>
      </w:r>
    </w:p>
  </w:footnote>
  <w:footnote w:type="continuationSeparator" w:id="0">
    <w:p w:rsidR="00450C78" w:rsidRDefault="0045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D4B5F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Минтруда России от 12.02.2024 N 28-7/10/В-2237</w:t>
          </w:r>
          <w:r>
            <w:rPr>
              <w:rFonts w:ascii="Tahoma" w:hAnsi="Tahoma" w:cs="Tahoma"/>
              <w:sz w:val="16"/>
              <w:szCs w:val="16"/>
            </w:rPr>
            <w:br/>
            <w:t>&lt;О Методических рекомендациях по вопросам представления сведений...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4B5F" w:rsidRDefault="00AF197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15.02.2024</w:t>
          </w:r>
        </w:p>
      </w:tc>
    </w:tr>
  </w:tbl>
  <w:p w:rsidR="009D4B5F" w:rsidRDefault="009D4B5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D4B5F" w:rsidRDefault="00AF197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CA"/>
    <w:rsid w:val="003560CA"/>
    <w:rsid w:val="00450C78"/>
    <w:rsid w:val="00730B14"/>
    <w:rsid w:val="009D4B5F"/>
    <w:rsid w:val="00AF1971"/>
    <w:rsid w:val="00D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83631-E6DB-4B9E-B64A-7CBE614B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9481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12.02.2024 N 28-7/10/В-2237&lt;О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</vt:lpstr>
    </vt:vector>
  </TitlesOfParts>
  <Company>КонсультантПлюс Версия 4022.00.55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12.02.2024 N 28-7/10/В-2237&lt;О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</dc:title>
  <dc:creator>polenichkovb</dc:creator>
  <cp:lastModifiedBy>User</cp:lastModifiedBy>
  <cp:revision>2</cp:revision>
  <dcterms:created xsi:type="dcterms:W3CDTF">2024-02-15T11:36:00Z</dcterms:created>
  <dcterms:modified xsi:type="dcterms:W3CDTF">2024-02-15T11:36:00Z</dcterms:modified>
</cp:coreProperties>
</file>